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216" w:before="0" w:after="0"/>
        <w:ind w:left="0" w:right="667" w:hanging="0"/>
        <w:jc w:val="left"/>
        <w:rPr/>
      </w:pPr>
      <w:r>
        <w:rPr>
          <w:rFonts w:cs="Times New Roman" w:ascii="Arial Narrow" w:hAnsi="Arial Narrow"/>
          <w:color w:val="000000"/>
          <w:sz w:val="20"/>
          <w:szCs w:val="24"/>
          <w:lang w:val="pl-PL" w:bidi="ar-SA"/>
        </w:rPr>
        <w:tab/>
      </w:r>
      <w:r>
        <w:rPr>
          <w:rFonts w:cs="Times New Roman" w:ascii="Arial" w:hAnsi="Arial"/>
          <w:color w:val="000000"/>
          <w:sz w:val="22"/>
          <w:szCs w:val="22"/>
          <w:lang w:val="pl-PL" w:bidi="ar-SA"/>
        </w:rPr>
        <w:tab/>
        <w:tab/>
        <w:tab/>
        <w:tab/>
        <w:tab/>
        <w:tab/>
        <w:tab/>
        <w:t>GOTSIR.0763.73.2021</w:t>
      </w:r>
    </w:p>
    <w:p>
      <w:pPr>
        <w:pStyle w:val="Normal"/>
        <w:spacing w:lineRule="auto" w:line="360" w:before="0" w:after="0"/>
        <w:ind w:left="5664" w:hanging="0"/>
        <w:jc w:val="left"/>
        <w:rPr>
          <w:rFonts w:ascii="Arial" w:hAnsi="Arial"/>
          <w:sz w:val="22"/>
          <w:szCs w:val="22"/>
        </w:rPr>
      </w:pPr>
      <w:r>
        <w:rPr>
          <w:rFonts w:cs="Times New Roman" w:ascii="Arial" w:hAnsi="Arial"/>
          <w:sz w:val="22"/>
          <w:szCs w:val="22"/>
        </w:rPr>
        <w:t>Załącznik nr 5 do SWZ</w:t>
      </w:r>
    </w:p>
    <w:p>
      <w:pPr>
        <w:pStyle w:val="Normal"/>
        <w:spacing w:before="0" w:after="120"/>
        <w:jc w:val="both"/>
        <w:rPr>
          <w:rFonts w:ascii="Arial Narrow" w:hAnsi="Arial Narrow" w:eastAsia="Times New Roman" w:cs="Times New Roman"/>
          <w:b/>
          <w:b/>
          <w:sz w:val="24"/>
          <w:szCs w:val="24"/>
          <w:u w:val="single"/>
          <w:lang w:eastAsia="pl-PL"/>
        </w:rPr>
      </w:pPr>
      <w:r>
        <w:rPr>
          <w:rFonts w:eastAsia="Times New Roman" w:cs="Times New Roman" w:ascii="Arial" w:hAnsi="Arial"/>
          <w:b/>
          <w:sz w:val="22"/>
          <w:szCs w:val="22"/>
          <w:u w:val="single"/>
          <w:lang w:eastAsia="pl-PL"/>
        </w:rPr>
        <w:t xml:space="preserve">KLAUZULA INFORMACYJNA DOTYCZĄCA PRZETWARZANIA DANYCH OSOBOWYCH </w:t>
      </w:r>
    </w:p>
    <w:p>
      <w:pPr>
        <w:pStyle w:val="ListParagraph"/>
        <w:widowControl/>
        <w:numPr>
          <w:ilvl w:val="0"/>
          <w:numId w:val="0"/>
        </w:numPr>
        <w:tabs>
          <w:tab w:val="center" w:pos="4536" w:leader="none"/>
          <w:tab w:val="right" w:pos="9072" w:leader="none"/>
        </w:tabs>
        <w:suppressAutoHyphens w:val="true"/>
        <w:bidi w:val="0"/>
        <w:spacing w:lineRule="auto" w:line="276" w:before="0" w:after="0"/>
        <w:ind w:left="0" w:right="0" w:hanging="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Zgodnie z art. 13 ust. 1 i 2 rozporządzenia Parlamentu Europejskiego i Rady (UE) 2016/679  z dnia 27 kwietnia 2016 r. w sprawie ochrony osób fizycznych w związku z przetwarzaniem danych osobowych i w sprawie swobodnego przepływu takich danych oraz uchylenia dyrektywy 95/46/WE (ogólne rozporządzenie o danych) (Dz.U. UE L119 z dnia 4 maja 2016 r., str. 1; zwanym dalej „RODO”) informujemy, że: 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administratorem Danych Osobowych osób występujących w dokumentacji Wykonawców ubiegających się o udzielenie zamówienia publicznego jest dyrektor</w:t>
        <w:br/>
      </w:r>
      <w:r>
        <w:rPr>
          <w:rFonts w:eastAsia="Times New Roman" w:cs="Arial" w:ascii="Arial" w:hAnsi="Arial"/>
          <w:b/>
          <w:bCs/>
          <w:color w:val="000000"/>
          <w:sz w:val="22"/>
          <w:szCs w:val="22"/>
          <w:lang w:eastAsia="pl-PL"/>
        </w:rPr>
        <w:t xml:space="preserve">Gminnego Ośrodka Turystyki, Sportu i Rekreacji „NAUTICA” w Gorzycach, </w:t>
      </w:r>
      <w:r>
        <w:rPr>
          <w:rFonts w:eastAsia="Times New Roman" w:cs="Times New Roman" w:ascii="Arial" w:hAnsi="Arial"/>
          <w:b/>
          <w:bCs/>
          <w:color w:val="000000"/>
          <w:sz w:val="22"/>
          <w:szCs w:val="22"/>
          <w:lang w:val="en-US" w:eastAsia="pl-PL" w:bidi="ar-SA"/>
        </w:rPr>
        <w:t>ul. Bogumińska  31, 44 - 350 Gorzyce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/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inspektorem ochrony danych w GOTSiR Nautica w Gorzycach jest Agnieszka Firla, z którą można się skontaktować poprzez adres e-mail: </w:t>
      </w:r>
      <w:hyperlink r:id="rId2">
        <w:r>
          <w:rPr>
            <w:rStyle w:val="Czeinternetowe"/>
            <w:rFonts w:eastAsia="Times New Roman" w:cs="Times New Roman" w:ascii="Arial" w:hAnsi="Arial"/>
            <w:color w:val="000000"/>
            <w:sz w:val="22"/>
            <w:szCs w:val="22"/>
            <w:lang w:eastAsia="pl-PL"/>
          </w:rPr>
          <w:t>iod@nautica-gorzyce.pl</w:t>
        </w:r>
      </w:hyperlink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 lub pisemnie na adres siedziby administratora;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Pani/Pana dane osobowe przetwarzane będą na podstawie art. 6 ust. 1 lit. c RODO w celu związanym z niniejszym postępowaniem o udzielenie zamówienia publicznego;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 xml:space="preserve">odbiorcami Pani/Pana danych osobowych będą osoby lub podmioty, którym udostępniona zostanie dokumentacja postępowania w oparciu o art. 18 oraz art. 74 ustawy – Prawo zamówień publicznych, dalej „ustawa Pzp”; 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Pani/Pana dane osobowe będą przechowywane, zgodnie z art. 78 ust. 1 ustawy Pzp, przez okres 4 lat od dnia zakończenia postępowania o udzielenie zamówienia, a jeżeli czas trwania umowy przekracza 4 lata, okres przechowywania obejmuje cały czas trwania umowy;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obowiązek podania przez Panią/Pana danych osobowych bezpośrednio Pani/Pana dotyczących jest wymogiem ustawowym określonym w przepisach ustawy Pzp, związanym z udziałem w postępowaniu o udzielenie zamówienia publicznego; konsekwencje niepodania określonych danych wynikają z ustawy Pzp;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w odniesieniu do Pani/Pana danych osobowych decyzje nie będą podejmowane w sposób zautomatyzowany, stosowanie do art. 22 RODO;</w:t>
      </w:r>
    </w:p>
    <w:p>
      <w:pPr>
        <w:pStyle w:val="ListParagraph"/>
        <w:numPr>
          <w:ilvl w:val="0"/>
          <w:numId w:val="1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posiada Pani/Pan: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15 RODO prawo dostępu do danych osobowych Pani/Pana dotyczących ( przypadku, gdy skorzystanie z tego prawa wymagałoby po stronie administratora niewspółmiernie dużego wysiłku może zostać pani/Pan zobowiązana do wskazania dodatkowych informacji mających na celu sprecyzowanie żądania, w szczególności podania nazwy lub daty postępowania o udzielenie zamówienia publicznego albo sprecyzowanie nazwy lub daty zakończonego postępowania o udzielenie zamówienia);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16 RODO prawo do sprostowania Pani/Pana danych osobowych (skorzystanie z prawa do sprostowania nie może skutkować zmianą wyniku postępowania o udzielenie zamówienia publicznego ani zmianą postanowień umowy w zakresie niezgodnym z ustawą Pzp oraz nie może naruszać integralności protokołu oraz jego załączników);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18 RODO prawo żądania od administratora ograniczenia przetwarzania danych osobowych z zastrzeżeniem okresu trwania postępowania o udzielenie zamówienia publicznego oraz przypadków, o których mowa w art. 18 ust. 2 RODO (prawo do 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>
      <w:pPr>
        <w:pStyle w:val="ListParagraph"/>
        <w:numPr>
          <w:ilvl w:val="0"/>
          <w:numId w:val="2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ind w:left="360" w:hanging="36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prawo do wniesienia skargi do Prezesa Urzędu Ochrony Danych Osobowych, gdy uzna Pani/Pan, że przetwarzanie danych osobowych Pani/Pana dotyczących narusza przepisy RODO;</w:t>
      </w:r>
    </w:p>
    <w:p>
      <w:pPr>
        <w:pStyle w:val="Normal"/>
        <w:tabs>
          <w:tab w:val="center" w:pos="4536" w:leader="none"/>
          <w:tab w:val="right" w:pos="9072" w:leader="none"/>
        </w:tabs>
        <w:suppressAutoHyphens w:val="true"/>
        <w:spacing w:before="0" w:after="0"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i)    nie przysługuje Pani/Panu:</w:t>
      </w:r>
    </w:p>
    <w:p>
      <w:pPr>
        <w:pStyle w:val="ListParagraph"/>
        <w:numPr>
          <w:ilvl w:val="0"/>
          <w:numId w:val="3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w związku z art. 17 ust. 3 lit. b, d lub e RODO prawo do usunięcia danych osobowych;</w:t>
      </w:r>
    </w:p>
    <w:p>
      <w:pPr>
        <w:pStyle w:val="ListParagraph"/>
        <w:numPr>
          <w:ilvl w:val="0"/>
          <w:numId w:val="3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prawo do przenoszenia danych osobowych, o którym mowa w art. 20 RODO;</w:t>
      </w:r>
    </w:p>
    <w:p>
      <w:pPr>
        <w:pStyle w:val="ListParagraph"/>
        <w:numPr>
          <w:ilvl w:val="0"/>
          <w:numId w:val="3"/>
        </w:numPr>
        <w:tabs>
          <w:tab w:val="center" w:pos="4536" w:leader="none"/>
          <w:tab w:val="right" w:pos="9072" w:leader="none"/>
        </w:tabs>
        <w:suppressAutoHyphens w:val="true"/>
        <w:spacing w:before="0" w:after="0"/>
        <w:contextualSpacing/>
        <w:jc w:val="left"/>
        <w:rPr>
          <w:rFonts w:ascii="Arial Narrow" w:hAnsi="Arial Narrow" w:eastAsia="Times New Roman" w:cs="Times New Roman"/>
          <w:color w:val="000000"/>
          <w:sz w:val="24"/>
          <w:szCs w:val="24"/>
          <w:lang w:eastAsia="pl-PL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na podstawie art. 21 RODO prawo sprzeciwu, wobec przetwarzania danych osobowych, gdyż podstawą prawną przetwarzania Pani/Pana danych osobowych jest art. 6 ust. 1 lit. c RODO.</w:t>
      </w:r>
    </w:p>
    <w:p>
      <w:pPr>
        <w:pStyle w:val="Normal"/>
        <w:widowControl/>
        <w:tabs>
          <w:tab w:val="center" w:pos="4536" w:leader="none"/>
          <w:tab w:val="right" w:pos="9072" w:leader="none"/>
        </w:tabs>
        <w:suppressAutoHyphens w:val="true"/>
        <w:bidi w:val="0"/>
        <w:spacing w:lineRule="auto" w:line="276" w:before="0" w:after="0"/>
        <w:ind w:left="397" w:right="0" w:hanging="397"/>
        <w:jc w:val="left"/>
        <w:rPr>
          <w:rFonts w:ascii="Arial" w:hAnsi="Arial"/>
          <w:sz w:val="22"/>
          <w:szCs w:val="22"/>
        </w:rPr>
      </w:pPr>
      <w:r>
        <w:rPr>
          <w:rFonts w:eastAsia="Times New Roman" w:cs="Times New Roman" w:ascii="Arial" w:hAnsi="Arial"/>
          <w:color w:val="000000"/>
          <w:sz w:val="22"/>
          <w:szCs w:val="22"/>
          <w:lang w:eastAsia="pl-PL"/>
        </w:rPr>
        <w:t>j)    przysługuje Pani/Panu prawo wniesienia skargi do organu nadzorczego na niezgodne z RODO przetwarzanie Pani/Pana danych osobowych przez administratora. Organem właściwym dla przedmiotowej skargi jest Urząd Ochrony danych Osobowych, ul. Stawki 2, 00-193 Warszawa</w:t>
      </w:r>
    </w:p>
    <w:p>
      <w:pPr>
        <w:pStyle w:val="ListParagraph"/>
        <w:tabs>
          <w:tab w:val="center" w:pos="4536" w:leader="none"/>
          <w:tab w:val="right" w:pos="9072" w:leader="none"/>
        </w:tabs>
        <w:suppressAutoHyphens w:val="true"/>
        <w:spacing w:before="0" w:after="0"/>
        <w:ind w:left="357" w:hanging="0"/>
        <w:contextualSpacing/>
        <w:jc w:val="left"/>
        <w:rPr/>
      </w:pPr>
      <w:r>
        <w:rPr/>
      </w:r>
    </w:p>
    <w:sectPr>
      <w:type w:val="nextPage"/>
      <w:pgSz w:w="11906" w:h="16838"/>
      <w:pgMar w:left="1417" w:right="1417" w:header="0" w:top="1417" w:footer="0" w:bottom="1417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Calibri">
    <w:charset w:val="ee"/>
    <w:family w:val="roman"/>
    <w:pitch w:val="variable"/>
  </w:font>
  <w:font w:name="Arial Narrow">
    <w:charset w:val="ee"/>
    <w:family w:val="roman"/>
    <w:pitch w:val="variable"/>
  </w:font>
  <w:font w:name="Arial">
    <w:charset w:val="ee"/>
    <w:family w:val="roman"/>
    <w:pitch w:val="variable"/>
  </w:font>
  <w:font w:name="Liberation Sans">
    <w:altName w:val="Arial"/>
    <w:charset w:val="ee"/>
    <w:family w:val="roman"/>
    <w:pitch w:val="variable"/>
  </w:font>
  <w:font w:name="Courier New">
    <w:charset w:val="01"/>
    <w:family w:val="modern"/>
    <w:pitch w:val="fixed"/>
  </w:font>
  <w:font w:name="Wingdings">
    <w:charset w:val="02"/>
    <w:family w:val="auto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cs="Wingdings" w:hint="default"/>
        <w:rFonts w:cs="Wingdings"/>
      </w:rPr>
    </w:lvl>
  </w:abstractNum>
  <w:abstractNum w:abstractNumId="2">
    <w:lvl w:ilvl="0">
      <w:start w:val="1"/>
      <w:numFmt w:val="bullet"/>
      <w:lvlText w:val=""/>
      <w:lvlJc w:val="left"/>
      <w:pPr>
        <w:ind w:left="927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2225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945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3665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4385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5105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825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6545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7265" w:hanging="360"/>
      </w:pPr>
      <w:rPr>
        <w:rFonts w:ascii="Wingdings" w:hAnsi="Wingdings" w:cs="Wingdings" w:hint="default"/>
        <w:rFonts w:cs="Wingdings"/>
      </w:rPr>
    </w:lvl>
  </w:abstractNum>
  <w:abstractNum w:abstractNumId="3"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  <w:sz w:val="24"/>
        <w:rFonts w:cs="Symbol"/>
      </w:rPr>
    </w:lvl>
    <w:lvl w:ilvl="1">
      <w:start w:val="1"/>
      <w:numFmt w:val="bullet"/>
      <w:lvlText w:val="o"/>
      <w:lvlJc w:val="left"/>
      <w:pPr>
        <w:ind w:left="1517" w:hanging="360"/>
      </w:pPr>
      <w:rPr>
        <w:rFonts w:ascii="Courier New" w:hAnsi="Courier New" w:cs="Courier New" w:hint="default"/>
        <w:rFonts w:cs="Courier New"/>
      </w:rPr>
    </w:lvl>
    <w:lvl w:ilvl="2">
      <w:start w:val="1"/>
      <w:numFmt w:val="bullet"/>
      <w:lvlText w:val=""/>
      <w:lvlJc w:val="left"/>
      <w:pPr>
        <w:ind w:left="2237" w:hanging="360"/>
      </w:pPr>
      <w:rPr>
        <w:rFonts w:ascii="Wingdings" w:hAnsi="Wingdings" w:cs="Wingdings" w:hint="default"/>
        <w:rFonts w:cs="Wingdings"/>
      </w:rPr>
    </w:lvl>
    <w:lvl w:ilvl="3">
      <w:start w:val="1"/>
      <w:numFmt w:val="bullet"/>
      <w:lvlText w:val=""/>
      <w:lvlJc w:val="left"/>
      <w:pPr>
        <w:ind w:left="2957" w:hanging="360"/>
      </w:pPr>
      <w:rPr>
        <w:rFonts w:ascii="Symbol" w:hAnsi="Symbol" w:cs="Symbol" w:hint="default"/>
        <w:rFonts w:cs="Symbol"/>
      </w:rPr>
    </w:lvl>
    <w:lvl w:ilvl="4">
      <w:start w:val="1"/>
      <w:numFmt w:val="bullet"/>
      <w:lvlText w:val="o"/>
      <w:lvlJc w:val="left"/>
      <w:pPr>
        <w:ind w:left="3677" w:hanging="360"/>
      </w:pPr>
      <w:rPr>
        <w:rFonts w:ascii="Courier New" w:hAnsi="Courier New" w:cs="Courier New" w:hint="default"/>
        <w:rFonts w:cs="Courier New"/>
      </w:rPr>
    </w:lvl>
    <w:lvl w:ilvl="5">
      <w:start w:val="1"/>
      <w:numFmt w:val="bullet"/>
      <w:lvlText w:val=""/>
      <w:lvlJc w:val="left"/>
      <w:pPr>
        <w:ind w:left="4397" w:hanging="360"/>
      </w:pPr>
      <w:rPr>
        <w:rFonts w:ascii="Wingdings" w:hAnsi="Wingdings" w:cs="Wingdings" w:hint="default"/>
        <w:rFonts w:cs="Wingdings"/>
      </w:rPr>
    </w:lvl>
    <w:lvl w:ilvl="6">
      <w:start w:val="1"/>
      <w:numFmt w:val="bullet"/>
      <w:lvlText w:val=""/>
      <w:lvlJc w:val="left"/>
      <w:pPr>
        <w:ind w:left="5117" w:hanging="360"/>
      </w:pPr>
      <w:rPr>
        <w:rFonts w:ascii="Symbol" w:hAnsi="Symbol" w:cs="Symbol" w:hint="default"/>
        <w:rFonts w:cs="Symbol"/>
      </w:rPr>
    </w:lvl>
    <w:lvl w:ilvl="7">
      <w:start w:val="1"/>
      <w:numFmt w:val="bullet"/>
      <w:lvlText w:val="o"/>
      <w:lvlJc w:val="left"/>
      <w:pPr>
        <w:ind w:left="5837" w:hanging="360"/>
      </w:pPr>
      <w:rPr>
        <w:rFonts w:ascii="Courier New" w:hAnsi="Courier New" w:cs="Courier New" w:hint="default"/>
        <w:rFonts w:cs="Courier New"/>
      </w:rPr>
    </w:lvl>
    <w:lvl w:ilvl="8">
      <w:start w:val="1"/>
      <w:numFmt w:val="bullet"/>
      <w:lvlText w:val=""/>
      <w:lvlJc w:val="left"/>
      <w:pPr>
        <w:ind w:left="6557" w:hanging="360"/>
      </w:pPr>
      <w:rPr>
        <w:rFonts w:ascii="Wingdings" w:hAnsi="Wingdings" w:cs="Wingdings" w:hint="default"/>
        <w:rFonts w:cs="Wingdings"/>
      </w:rPr>
    </w:lvl>
  </w:abstractNum>
  <w:abstractNum w:abstractNumId="4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00"/>
  <w:defaultTabStop w:val="708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l-PL" w:eastAsia="en-US" w:bidi="ar-SA"/>
      </w:rPr>
    </w:rPrDefault>
    <w:pPrDefault>
      <w:pPr/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pl-PL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TekstprzypisudolnegoZnak" w:customStyle="1">
    <w:name w:val="Tekst przypisu dolnego Znak"/>
    <w:basedOn w:val="DefaultParagraphFont"/>
    <w:link w:val="Tekstprzypisudolnego"/>
    <w:uiPriority w:val="99"/>
    <w:qFormat/>
    <w:rsid w:val="00823809"/>
    <w:rPr>
      <w:sz w:val="20"/>
      <w:szCs w:val="20"/>
    </w:rPr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basedOn w:val="DefaultParagraphFont"/>
    <w:uiPriority w:val="99"/>
    <w:semiHidden/>
    <w:unhideWhenUsed/>
    <w:qFormat/>
    <w:rsid w:val="00823809"/>
    <w:rPr>
      <w:vertAlign w:val="superscript"/>
    </w:rPr>
  </w:style>
  <w:style w:type="character" w:styleId="Czeinternetowe">
    <w:name w:val="Łącze internetowe"/>
    <w:basedOn w:val="DefaultParagraphFont"/>
    <w:uiPriority w:val="99"/>
    <w:unhideWhenUsed/>
    <w:rsid w:val="007741d1"/>
    <w:rPr>
      <w:color w:val="0000FF" w:themeColor="hyperlink"/>
      <w:u w:val="single"/>
    </w:rPr>
  </w:style>
  <w:style w:type="character" w:styleId="ListLabel1">
    <w:name w:val="ListLabel 1"/>
    <w:qFormat/>
    <w:rPr>
      <w:b w:val="false"/>
      <w:i w:val="false"/>
    </w:rPr>
  </w:style>
  <w:style w:type="character" w:styleId="ListLabel2">
    <w:name w:val="ListLabel 2"/>
    <w:qFormat/>
    <w:rPr>
      <w:rFonts w:cs="Courier New"/>
    </w:rPr>
  </w:style>
  <w:style w:type="character" w:styleId="ListLabel3">
    <w:name w:val="ListLabel 3"/>
    <w:qFormat/>
    <w:rPr>
      <w:rFonts w:cs="Courier New"/>
    </w:rPr>
  </w:style>
  <w:style w:type="character" w:styleId="ListLabel4">
    <w:name w:val="ListLabel 4"/>
    <w:qFormat/>
    <w:rPr>
      <w:rFonts w:cs="Courier New"/>
    </w:rPr>
  </w:style>
  <w:style w:type="character" w:styleId="ListLabel5">
    <w:name w:val="ListLabel 5"/>
    <w:qFormat/>
    <w:rPr>
      <w:rFonts w:cs="Times New Roman"/>
      <w:color w:val="auto"/>
    </w:rPr>
  </w:style>
  <w:style w:type="character" w:styleId="ListLabel6">
    <w:name w:val="ListLabel 6"/>
    <w:qFormat/>
    <w:rPr>
      <w:rFonts w:cs="Courier New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Times New Roman"/>
      <w:color w:val="auto"/>
    </w:rPr>
  </w:style>
  <w:style w:type="character" w:styleId="ListLabel10">
    <w:name w:val="ListLabel 10"/>
    <w:qFormat/>
    <w:rPr>
      <w:rFonts w:cs="Courier New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ascii="Arial Narrow" w:hAnsi="Arial Narrow" w:eastAsia="Calibri" w:cs="Arial"/>
      <w:b w:val="false"/>
      <w:bCs/>
      <w:color w:val="auto"/>
      <w:sz w:val="24"/>
      <w:u w:val="none"/>
    </w:rPr>
  </w:style>
  <w:style w:type="character" w:styleId="ListLabel14">
    <w:name w:val="ListLabel 14"/>
    <w:qFormat/>
    <w:rPr>
      <w:rFonts w:eastAsia="Times New Roman" w:cs="Times New Roman"/>
      <w:b/>
    </w:rPr>
  </w:style>
  <w:style w:type="character" w:styleId="ListLabel15">
    <w:name w:val="ListLabel 15"/>
    <w:qFormat/>
    <w:rPr>
      <w:rFonts w:cs="Courier New"/>
    </w:rPr>
  </w:style>
  <w:style w:type="character" w:styleId="ListLabel16">
    <w:name w:val="ListLabel 16"/>
    <w:qFormat/>
    <w:rPr>
      <w:rFonts w:cs="Courier New"/>
    </w:rPr>
  </w:style>
  <w:style w:type="character" w:styleId="ListLabel17">
    <w:name w:val="ListLabel 17"/>
    <w:qFormat/>
    <w:rPr>
      <w:rFonts w:cs="Courier New"/>
    </w:rPr>
  </w:style>
  <w:style w:type="character" w:styleId="ListLabel18">
    <w:name w:val="ListLabel 18"/>
    <w:qFormat/>
    <w:rPr>
      <w:rFonts w:cs="Courier New"/>
    </w:rPr>
  </w:style>
  <w:style w:type="character" w:styleId="ListLabel19">
    <w:name w:val="ListLabel 19"/>
    <w:qFormat/>
    <w:rPr>
      <w:rFonts w:cs="Courier New"/>
    </w:rPr>
  </w:style>
  <w:style w:type="character" w:styleId="ListLabel20">
    <w:name w:val="ListLabel 20"/>
    <w:qFormat/>
    <w:rPr>
      <w:rFonts w:cs="Courier New"/>
    </w:rPr>
  </w:style>
  <w:style w:type="character" w:styleId="ListLabel21">
    <w:name w:val="ListLabel 21"/>
    <w:qFormat/>
    <w:rPr>
      <w:rFonts w:cs="Courier New"/>
    </w:rPr>
  </w:style>
  <w:style w:type="character" w:styleId="ListLabel22">
    <w:name w:val="ListLabel 22"/>
    <w:qFormat/>
    <w:rPr>
      <w:rFonts w:cs="Courier New"/>
    </w:rPr>
  </w:style>
  <w:style w:type="character" w:styleId="ListLabel23">
    <w:name w:val="ListLabel 23"/>
    <w:qFormat/>
    <w:rPr>
      <w:rFonts w:cs="Courier New"/>
    </w:rPr>
  </w:style>
  <w:style w:type="character" w:styleId="ListLabel24">
    <w:name w:val="ListLabel 24"/>
    <w:qFormat/>
    <w:rPr>
      <w:rFonts w:eastAsia="Calibri" w:cs="Arial"/>
      <w:b w:val="false"/>
      <w:bCs/>
      <w:color w:val="auto"/>
      <w:sz w:val="24"/>
      <w:u w:val="none"/>
    </w:rPr>
  </w:style>
  <w:style w:type="character" w:styleId="ListLabel25">
    <w:name w:val="ListLabel 25"/>
    <w:qFormat/>
    <w:rPr>
      <w:rFonts w:cs="Courier New"/>
    </w:rPr>
  </w:style>
  <w:style w:type="character" w:styleId="ListLabel26">
    <w:name w:val="ListLabel 26"/>
    <w:qFormat/>
    <w:rPr>
      <w:rFonts w:cs="Wingdings"/>
    </w:rPr>
  </w:style>
  <w:style w:type="character" w:styleId="ListLabel27">
    <w:name w:val="ListLabel 27"/>
    <w:qFormat/>
    <w:rPr>
      <w:rFonts w:cs="Symbol"/>
    </w:rPr>
  </w:style>
  <w:style w:type="character" w:styleId="ListLabel28">
    <w:name w:val="ListLabel 28"/>
    <w:qFormat/>
    <w:rPr>
      <w:rFonts w:cs="Courier New"/>
    </w:rPr>
  </w:style>
  <w:style w:type="character" w:styleId="ListLabel29">
    <w:name w:val="ListLabel 29"/>
    <w:qFormat/>
    <w:rPr>
      <w:rFonts w:cs="Wingdings"/>
    </w:rPr>
  </w:style>
  <w:style w:type="character" w:styleId="ListLabel30">
    <w:name w:val="ListLabel 30"/>
    <w:qFormat/>
    <w:rPr>
      <w:rFonts w:cs="Symbol"/>
    </w:rPr>
  </w:style>
  <w:style w:type="character" w:styleId="ListLabel31">
    <w:name w:val="ListLabel 31"/>
    <w:qFormat/>
    <w:rPr>
      <w:rFonts w:cs="Courier New"/>
    </w:rPr>
  </w:style>
  <w:style w:type="character" w:styleId="ListLabel32">
    <w:name w:val="ListLabel 32"/>
    <w:qFormat/>
    <w:rPr>
      <w:rFonts w:cs="Wingdings"/>
    </w:rPr>
  </w:style>
  <w:style w:type="character" w:styleId="ListLabel33">
    <w:name w:val="ListLabel 33"/>
    <w:qFormat/>
    <w:rPr>
      <w:rFonts w:ascii="Arial Narrow" w:hAnsi="Arial Narrow" w:cs="Symbol"/>
      <w:sz w:val="24"/>
    </w:rPr>
  </w:style>
  <w:style w:type="character" w:styleId="ListLabel34">
    <w:name w:val="ListLabel 34"/>
    <w:qFormat/>
    <w:rPr>
      <w:rFonts w:cs="Courier New"/>
    </w:rPr>
  </w:style>
  <w:style w:type="character" w:styleId="ListLabel35">
    <w:name w:val="ListLabel 35"/>
    <w:qFormat/>
    <w:rPr>
      <w:rFonts w:cs="Wingdings"/>
    </w:rPr>
  </w:style>
  <w:style w:type="character" w:styleId="ListLabel36">
    <w:name w:val="ListLabel 36"/>
    <w:qFormat/>
    <w:rPr>
      <w:rFonts w:cs="Symbol"/>
    </w:rPr>
  </w:style>
  <w:style w:type="character" w:styleId="ListLabel37">
    <w:name w:val="ListLabel 37"/>
    <w:qFormat/>
    <w:rPr>
      <w:rFonts w:cs="Courier New"/>
    </w:rPr>
  </w:style>
  <w:style w:type="character" w:styleId="ListLabel38">
    <w:name w:val="ListLabel 38"/>
    <w:qFormat/>
    <w:rPr>
      <w:rFonts w:cs="Wingdings"/>
    </w:rPr>
  </w:style>
  <w:style w:type="character" w:styleId="ListLabel39">
    <w:name w:val="ListLabel 39"/>
    <w:qFormat/>
    <w:rPr>
      <w:rFonts w:cs="Symbol"/>
    </w:rPr>
  </w:style>
  <w:style w:type="character" w:styleId="ListLabel40">
    <w:name w:val="ListLabel 40"/>
    <w:qFormat/>
    <w:rPr>
      <w:rFonts w:cs="Courier New"/>
    </w:rPr>
  </w:style>
  <w:style w:type="character" w:styleId="ListLabel41">
    <w:name w:val="ListLabel 41"/>
    <w:qFormat/>
    <w:rPr>
      <w:rFonts w:cs="Wingdings"/>
    </w:rPr>
  </w:style>
  <w:style w:type="character" w:styleId="ListLabel42">
    <w:name w:val="ListLabel 42"/>
    <w:qFormat/>
    <w:rPr>
      <w:rFonts w:ascii="Arial Narrow" w:hAnsi="Arial Narrow" w:cs="Symbol"/>
      <w:sz w:val="24"/>
    </w:rPr>
  </w:style>
  <w:style w:type="character" w:styleId="ListLabel43">
    <w:name w:val="ListLabel 43"/>
    <w:qFormat/>
    <w:rPr>
      <w:rFonts w:cs="Courier New"/>
    </w:rPr>
  </w:style>
  <w:style w:type="character" w:styleId="ListLabel44">
    <w:name w:val="ListLabel 44"/>
    <w:qFormat/>
    <w:rPr>
      <w:rFonts w:cs="Wingdings"/>
    </w:rPr>
  </w:style>
  <w:style w:type="character" w:styleId="ListLabel45">
    <w:name w:val="ListLabel 45"/>
    <w:qFormat/>
    <w:rPr>
      <w:rFonts w:cs="Symbol"/>
    </w:rPr>
  </w:style>
  <w:style w:type="character" w:styleId="ListLabel46">
    <w:name w:val="ListLabel 46"/>
    <w:qFormat/>
    <w:rPr>
      <w:rFonts w:cs="Courier New"/>
    </w:rPr>
  </w:style>
  <w:style w:type="character" w:styleId="ListLabel47">
    <w:name w:val="ListLabel 47"/>
    <w:qFormat/>
    <w:rPr>
      <w:rFonts w:cs="Wingdings"/>
    </w:rPr>
  </w:style>
  <w:style w:type="character" w:styleId="ListLabel48">
    <w:name w:val="ListLabel 48"/>
    <w:qFormat/>
    <w:rPr>
      <w:rFonts w:cs="Symbol"/>
    </w:rPr>
  </w:style>
  <w:style w:type="character" w:styleId="ListLabel49">
    <w:name w:val="ListLabel 49"/>
    <w:qFormat/>
    <w:rPr>
      <w:rFonts w:cs="Courier New"/>
    </w:rPr>
  </w:style>
  <w:style w:type="character" w:styleId="ListLabel50">
    <w:name w:val="ListLabel 50"/>
    <w:qFormat/>
    <w:rPr>
      <w:rFonts w:cs="Wingdings"/>
    </w:rPr>
  </w:style>
  <w:style w:type="character" w:styleId="ListLabel51">
    <w:name w:val="ListLabel 51"/>
    <w:qFormat/>
    <w:rPr>
      <w:rFonts w:ascii="Arial" w:hAnsi="Arial" w:eastAsia="Times New Roman" w:cs="Times New Roman"/>
      <w:color w:val="000000"/>
      <w:sz w:val="22"/>
      <w:szCs w:val="22"/>
      <w:lang w:eastAsia="pl-PL"/>
    </w:rPr>
  </w:style>
  <w:style w:type="character" w:styleId="ListLabel52">
    <w:name w:val="ListLabel 52"/>
    <w:qFormat/>
    <w:rPr>
      <w:rFonts w:cs="Courier New"/>
    </w:rPr>
  </w:style>
  <w:style w:type="character" w:styleId="ListLabel53">
    <w:name w:val="ListLabel 53"/>
    <w:qFormat/>
    <w:rPr>
      <w:rFonts w:cs="Wingdings"/>
    </w:rPr>
  </w:style>
  <w:style w:type="character" w:styleId="ListLabel54">
    <w:name w:val="ListLabel 54"/>
    <w:qFormat/>
    <w:rPr>
      <w:rFonts w:cs="Symbol"/>
    </w:rPr>
  </w:style>
  <w:style w:type="character" w:styleId="ListLabel55">
    <w:name w:val="ListLabel 55"/>
    <w:qFormat/>
    <w:rPr>
      <w:rFonts w:cs="Courier New"/>
    </w:rPr>
  </w:style>
  <w:style w:type="character" w:styleId="ListLabel56">
    <w:name w:val="ListLabel 56"/>
    <w:qFormat/>
    <w:rPr>
      <w:rFonts w:cs="Wingdings"/>
    </w:rPr>
  </w:style>
  <w:style w:type="character" w:styleId="ListLabel57">
    <w:name w:val="ListLabel 57"/>
    <w:qFormat/>
    <w:rPr>
      <w:rFonts w:cs="Symbol"/>
    </w:rPr>
  </w:style>
  <w:style w:type="character" w:styleId="ListLabel58">
    <w:name w:val="ListLabel 58"/>
    <w:qFormat/>
    <w:rPr>
      <w:rFonts w:cs="Courier New"/>
    </w:rPr>
  </w:style>
  <w:style w:type="character" w:styleId="ListLabel59">
    <w:name w:val="ListLabel 59"/>
    <w:qFormat/>
    <w:rPr>
      <w:rFonts w:cs="Wingdings"/>
    </w:rPr>
  </w:style>
  <w:style w:type="character" w:styleId="ListLabel60">
    <w:name w:val="ListLabel 60"/>
    <w:qFormat/>
    <w:rPr>
      <w:rFonts w:ascii="Arial Narrow" w:hAnsi="Arial Narrow" w:cs="Symbol"/>
      <w:sz w:val="24"/>
    </w:rPr>
  </w:style>
  <w:style w:type="character" w:styleId="ListLabel61">
    <w:name w:val="ListLabel 61"/>
    <w:qFormat/>
    <w:rPr>
      <w:rFonts w:cs="Courier New"/>
    </w:rPr>
  </w:style>
  <w:style w:type="character" w:styleId="ListLabel62">
    <w:name w:val="ListLabel 62"/>
    <w:qFormat/>
    <w:rPr>
      <w:rFonts w:cs="Wingdings"/>
    </w:rPr>
  </w:style>
  <w:style w:type="character" w:styleId="ListLabel63">
    <w:name w:val="ListLabel 63"/>
    <w:qFormat/>
    <w:rPr>
      <w:rFonts w:cs="Symbol"/>
    </w:rPr>
  </w:style>
  <w:style w:type="character" w:styleId="ListLabel64">
    <w:name w:val="ListLabel 64"/>
    <w:qFormat/>
    <w:rPr>
      <w:rFonts w:cs="Courier New"/>
    </w:rPr>
  </w:style>
  <w:style w:type="character" w:styleId="ListLabel65">
    <w:name w:val="ListLabel 65"/>
    <w:qFormat/>
    <w:rPr>
      <w:rFonts w:cs="Wingdings"/>
    </w:rPr>
  </w:style>
  <w:style w:type="character" w:styleId="ListLabel66">
    <w:name w:val="ListLabel 66"/>
    <w:qFormat/>
    <w:rPr>
      <w:rFonts w:cs="Symbol"/>
    </w:rPr>
  </w:style>
  <w:style w:type="character" w:styleId="ListLabel67">
    <w:name w:val="ListLabel 67"/>
    <w:qFormat/>
    <w:rPr>
      <w:rFonts w:cs="Courier New"/>
    </w:rPr>
  </w:style>
  <w:style w:type="character" w:styleId="ListLabel68">
    <w:name w:val="ListLabel 68"/>
    <w:qFormat/>
    <w:rPr>
      <w:rFonts w:cs="Wingdings"/>
    </w:rPr>
  </w:style>
  <w:style w:type="character" w:styleId="ListLabel69">
    <w:name w:val="ListLabel 69"/>
    <w:qFormat/>
    <w:rPr>
      <w:rFonts w:ascii="Arial Narrow" w:hAnsi="Arial Narrow" w:cs="Symbol"/>
      <w:sz w:val="24"/>
    </w:rPr>
  </w:style>
  <w:style w:type="character" w:styleId="ListLabel70">
    <w:name w:val="ListLabel 70"/>
    <w:qFormat/>
    <w:rPr>
      <w:rFonts w:cs="Courier New"/>
    </w:rPr>
  </w:style>
  <w:style w:type="character" w:styleId="ListLabel71">
    <w:name w:val="ListLabel 71"/>
    <w:qFormat/>
    <w:rPr>
      <w:rFonts w:cs="Wingdings"/>
    </w:rPr>
  </w:style>
  <w:style w:type="character" w:styleId="ListLabel72">
    <w:name w:val="ListLabel 72"/>
    <w:qFormat/>
    <w:rPr>
      <w:rFonts w:cs="Symbol"/>
    </w:rPr>
  </w:style>
  <w:style w:type="character" w:styleId="ListLabel73">
    <w:name w:val="ListLabel 73"/>
    <w:qFormat/>
    <w:rPr>
      <w:rFonts w:cs="Courier New"/>
    </w:rPr>
  </w:style>
  <w:style w:type="character" w:styleId="ListLabel74">
    <w:name w:val="ListLabel 74"/>
    <w:qFormat/>
    <w:rPr>
      <w:rFonts w:cs="Wingdings"/>
    </w:rPr>
  </w:style>
  <w:style w:type="character" w:styleId="ListLabel75">
    <w:name w:val="ListLabel 75"/>
    <w:qFormat/>
    <w:rPr>
      <w:rFonts w:cs="Symbol"/>
    </w:rPr>
  </w:style>
  <w:style w:type="character" w:styleId="ListLabel76">
    <w:name w:val="ListLabel 76"/>
    <w:qFormat/>
    <w:rPr>
      <w:rFonts w:cs="Courier New"/>
    </w:rPr>
  </w:style>
  <w:style w:type="character" w:styleId="ListLabel77">
    <w:name w:val="ListLabel 77"/>
    <w:qFormat/>
    <w:rPr>
      <w:rFonts w:cs="Wingdings"/>
    </w:rPr>
  </w:style>
  <w:style w:type="character" w:styleId="ListLabel78">
    <w:name w:val="ListLabel 78"/>
    <w:qFormat/>
    <w:rPr>
      <w:rFonts w:ascii="Arial" w:hAnsi="Arial" w:eastAsia="Times New Roman" w:cs="Times New Roman"/>
      <w:color w:val="000000"/>
      <w:sz w:val="22"/>
      <w:szCs w:val="22"/>
      <w:lang w:eastAsia="pl-PL"/>
    </w:rPr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Przypisdolny">
    <w:name w:val="Footnote Text"/>
    <w:basedOn w:val="Normal"/>
    <w:link w:val="TekstprzypisudolnegoZnak"/>
    <w:uiPriority w:val="99"/>
    <w:unhideWhenUsed/>
    <w:rsid w:val="00823809"/>
    <w:pPr>
      <w:spacing w:lineRule="auto" w:line="240" w:before="0" w:after="0"/>
    </w:pPr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823809"/>
    <w:pPr>
      <w:spacing w:before="0" w:after="200"/>
      <w:ind w:left="720" w:hanging="0"/>
      <w:contextualSpacing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mailto:iod@nautica-gorzyce.pl" TargetMode="Externa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Application>LibreOffice/6.0.4.2$Windows_x86 LibreOffice_project/9b0d9b32d5dcda91d2f1a96dc04c645c450872bf</Application>
  <Pages>2</Pages>
  <Words>589</Words>
  <Characters>3595</Characters>
  <CharactersWithSpaces>4168</CharactersWithSpaces>
  <Paragraphs>21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2021-10-05T06:24:00Z</dcterms:created>
  <dc:creator>Agnieszka Sierakowska-Wojciechowska</dc:creator>
  <dc:description/>
  <dc:language>pl-PL</dc:language>
  <cp:lastModifiedBy/>
  <cp:lastPrinted>2021-10-19T12:13:00Z</cp:lastPrinted>
  <dcterms:modified xsi:type="dcterms:W3CDTF">2021-11-18T13:04:28Z</dcterms:modified>
  <cp:revision>10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