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media/image1.png" ContentType="image/png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/>
        <w:ind w:hanging="0" w:left="0"/>
        <w:jc w:val="left"/>
        <w:rPr/>
      </w:pPr>
      <w:r>
        <w:rPr/>
      </w:r>
    </w:p>
    <w:p>
      <w:pPr>
        <w:pStyle w:val="Normal"/>
        <w:spacing w:lineRule="auto" w:line="24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Gorzyce, 1</w:t>
      </w:r>
      <w:r>
        <w:rPr>
          <w:rFonts w:ascii="Arial" w:hAnsi="Arial"/>
          <w:sz w:val="20"/>
          <w:szCs w:val="20"/>
        </w:rPr>
        <w:t>3</w:t>
      </w:r>
      <w:r>
        <w:rPr>
          <w:rFonts w:ascii="Arial" w:hAnsi="Arial"/>
          <w:sz w:val="20"/>
          <w:szCs w:val="20"/>
        </w:rPr>
        <w:t>.10.2025r.</w:t>
      </w:r>
    </w:p>
    <w:p>
      <w:pPr>
        <w:pStyle w:val="Normal"/>
        <w:spacing w:lineRule="auto" w:line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GOTSIR.261.15.2025</w:t>
      </w:r>
    </w:p>
    <w:p>
      <w:pPr>
        <w:pStyle w:val="Normal"/>
        <w:spacing w:lineRule="auto" w:line="240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Zapytanie ofertowe/cenowe</w:t>
      </w:r>
    </w:p>
    <w:p>
      <w:pPr>
        <w:pStyle w:val="Normal"/>
        <w:spacing w:lineRule="auto" w:line="240"/>
        <w:jc w:val="center"/>
        <w:rPr>
          <w:rFonts w:ascii="Arial" w:hAnsi="Arial"/>
          <w:b/>
          <w:bCs/>
          <w:sz w:val="20"/>
          <w:szCs w:val="20"/>
        </w:rPr>
      </w:pPr>
      <w:r>
        <w:rPr>
          <w:rFonts w:ascii="Arial" w:hAnsi="Arial"/>
          <w:b/>
          <w:bCs/>
          <w:sz w:val="20"/>
          <w:szCs w:val="20"/>
        </w:rPr>
        <w:t>Gminnego Ośrodka Turystyki, Sportu i Rekreacji „Nautica” w Gorzycach</w:t>
      </w:r>
    </w:p>
    <w:p>
      <w:pPr>
        <w:pStyle w:val="Normal"/>
        <w:spacing w:lineRule="auto" w:line="24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1. Zamawiający – GOTSiR Nautica, ul. Bogumińska 31, 44-350 Gorzyce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2. Nazwa zadania: "Modernizacja rozdzielni zasilająco-sterującej"; przedmiot zamówienia:</w:t>
      </w:r>
    </w:p>
    <w:p>
      <w:pPr>
        <w:pStyle w:val="Normal"/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360"/>
        <w:jc w:val="both"/>
        <w:rPr/>
      </w:pPr>
      <w:r>
        <w:rPr>
          <w:rFonts w:ascii="Arial" w:hAnsi="Arial"/>
          <w:sz w:val="20"/>
          <w:szCs w:val="20"/>
        </w:rPr>
        <w:t>Montaż falowników w istniejącej instalacji z możliwością podłączenia do istniejącego systemu sterowania BMS - zasilanie trójfazowe, zabudowane w sąsiedztwie istniejącej rozdzielni elektrycznej wg następującego: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jc w:val="both"/>
        <w:rPr/>
      </w:pPr>
      <w:r>
        <w:rPr>
          <w:rFonts w:ascii="Arial" w:hAnsi="Arial"/>
          <w:sz w:val="20"/>
          <w:szCs w:val="20"/>
        </w:rPr>
        <w:t>Falowniki z panelem sterowniczym do pomp o mocy: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ind w:hanging="0" w:left="720"/>
        <w:jc w:val="both"/>
        <w:rPr/>
      </w:pPr>
      <w:r>
        <w:rPr>
          <w:rFonts w:ascii="Arial" w:hAnsi="Arial"/>
          <w:sz w:val="20"/>
          <w:szCs w:val="20"/>
        </w:rPr>
        <w:t>- 2 sztuki 5,5kW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ind w:hanging="0" w:left="720"/>
        <w:jc w:val="both"/>
        <w:rPr/>
      </w:pPr>
      <w:r>
        <w:rPr>
          <w:rFonts w:ascii="Arial" w:hAnsi="Arial"/>
          <w:sz w:val="20"/>
          <w:szCs w:val="20"/>
        </w:rPr>
        <w:t>- 2 sztuki 4kW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ind w:hanging="0" w:left="720"/>
        <w:jc w:val="both"/>
        <w:rPr/>
      </w:pPr>
      <w:r>
        <w:rPr>
          <w:rFonts w:ascii="Arial" w:hAnsi="Arial"/>
          <w:sz w:val="20"/>
          <w:szCs w:val="20"/>
        </w:rPr>
        <w:t>- 1 sztuka 3,7kW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ind w:hanging="0" w:left="720"/>
        <w:jc w:val="both"/>
        <w:rPr/>
      </w:pPr>
      <w:r>
        <w:rPr>
          <w:rFonts w:ascii="Arial" w:hAnsi="Arial"/>
          <w:sz w:val="20"/>
          <w:szCs w:val="20"/>
        </w:rPr>
        <w:t>- 3 sztuki 3kW</w:t>
      </w:r>
    </w:p>
    <w:p>
      <w:pPr>
        <w:pStyle w:val="Normal"/>
        <w:numPr>
          <w:ilvl w:val="0"/>
          <w:numId w:val="0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ind w:hanging="0" w:left="720"/>
        <w:jc w:val="both"/>
        <w:rPr/>
      </w:pPr>
      <w:r>
        <w:rPr>
          <w:rFonts w:ascii="Arial" w:hAnsi="Arial"/>
          <w:sz w:val="20"/>
          <w:szCs w:val="20"/>
        </w:rPr>
        <w:t xml:space="preserve">razem – 8 sztuk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jc w:val="both"/>
        <w:rPr/>
      </w:pPr>
      <w:r>
        <w:rPr>
          <w:rFonts w:ascii="Arial" w:hAnsi="Arial"/>
          <w:sz w:val="20"/>
          <w:szCs w:val="20"/>
        </w:rPr>
        <w:t xml:space="preserve">Szafa falownikowa z wyposażeniem (wentylatory, przekaźniki, przełączniki itp.) – komplet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jc w:val="both"/>
        <w:rPr/>
      </w:pPr>
      <w:r>
        <w:rPr>
          <w:rFonts w:ascii="Arial" w:hAnsi="Arial"/>
          <w:sz w:val="20"/>
          <w:szCs w:val="20"/>
        </w:rPr>
        <w:t xml:space="preserve">Okablowanie szaf falownikowych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jc w:val="both"/>
        <w:rPr/>
      </w:pPr>
      <w:r>
        <w:rPr>
          <w:rFonts w:ascii="Arial" w:hAnsi="Arial"/>
          <w:sz w:val="20"/>
          <w:szCs w:val="20"/>
        </w:rPr>
        <w:t xml:space="preserve">Okablowanie ekranowane do pomp </w:t>
      </w:r>
    </w:p>
    <w:p>
      <w:pPr>
        <w:pStyle w:val="Normal"/>
        <w:numPr>
          <w:ilvl w:val="0"/>
          <w:numId w:val="1"/>
        </w:numPr>
        <w:tabs>
          <w:tab w:val="clear" w:pos="720"/>
          <w:tab w:val="left" w:pos="0" w:leader="none"/>
          <w:tab w:val="left" w:pos="900" w:leader="none"/>
          <w:tab w:val="left" w:pos="1800" w:leader="none"/>
          <w:tab w:val="left" w:pos="2700" w:leader="none"/>
          <w:tab w:val="left" w:pos="3600" w:leader="none"/>
          <w:tab w:val="left" w:pos="4500" w:leader="none"/>
          <w:tab w:val="left" w:pos="5400" w:leader="none"/>
          <w:tab w:val="left" w:pos="6300" w:leader="none"/>
          <w:tab w:val="left" w:pos="7200" w:leader="none"/>
          <w:tab w:val="left" w:pos="8100" w:leader="none"/>
          <w:tab w:val="left" w:pos="9000" w:leader="none"/>
          <w:tab w:val="left" w:pos="9900" w:leader="none"/>
          <w:tab w:val="left" w:pos="10800" w:leader="none"/>
          <w:tab w:val="left" w:pos="11700" w:leader="none"/>
          <w:tab w:val="left" w:pos="12600" w:leader="none"/>
          <w:tab w:val="left" w:pos="13500" w:leader="none"/>
          <w:tab w:val="left" w:pos="14400" w:leader="none"/>
          <w:tab w:val="left" w:pos="15300" w:leader="none"/>
          <w:tab w:val="left" w:pos="16200" w:leader="none"/>
        </w:tabs>
        <w:spacing w:lineRule="auto" w:line="240"/>
        <w:jc w:val="both"/>
        <w:rPr/>
      </w:pPr>
      <w:r>
        <w:rPr>
          <w:rFonts w:ascii="Arial" w:hAnsi="Arial"/>
          <w:sz w:val="20"/>
          <w:szCs w:val="20"/>
        </w:rPr>
        <w:t xml:space="preserve">Robocizna i sterowania wraz z przewodami sterującymi 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Uwagi:</w:t>
        <w:br/>
      </w:r>
      <w:r>
        <w:rPr>
          <w:rFonts w:ascii="Arial" w:hAnsi="Arial"/>
          <w:b/>
          <w:color w:val="000000"/>
          <w:sz w:val="20"/>
          <w:szCs w:val="20"/>
        </w:rPr>
        <w:t xml:space="preserve">Celem określenia zakresu prac - </w:t>
      </w:r>
      <w:r>
        <w:rPr>
          <w:rFonts w:ascii="Arial" w:hAnsi="Arial"/>
          <w:b/>
          <w:color w:val="000000"/>
          <w:sz w:val="20"/>
          <w:szCs w:val="20"/>
        </w:rPr>
        <w:t>wymagana</w:t>
      </w:r>
      <w:r>
        <w:rPr>
          <w:rFonts w:ascii="Arial" w:hAnsi="Arial"/>
          <w:b/>
          <w:color w:val="000000"/>
          <w:sz w:val="20"/>
          <w:szCs w:val="20"/>
        </w:rPr>
        <w:t xml:space="preserve"> wizja lokalna.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3. Termin realizacji zamówienia:</w:t>
        <w:br/>
        <w:t>do 31.12.2025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4. Okres gwarancji:</w:t>
        <w:br/>
        <w:t>minimum 24 miesiące</w:t>
      </w:r>
    </w:p>
    <w:p>
      <w:pPr>
        <w:pStyle w:val="Normal"/>
        <w:spacing w:lineRule="auto" w:line="360"/>
        <w:jc w:val="left"/>
        <w:rPr/>
      </w:pPr>
      <w:r>
        <mc:AlternateContent>
          <mc:Choice Requires="wps">
            <w:drawing>
              <wp:anchor behindDoc="0" distT="635" distB="635" distL="635" distR="635" simplePos="0" locked="0" layoutInCell="1" allowOverlap="1" relativeHeight="2">
                <wp:simplePos x="0" y="0"/>
                <wp:positionH relativeFrom="column">
                  <wp:posOffset>-314325</wp:posOffset>
                </wp:positionH>
                <wp:positionV relativeFrom="paragraph">
                  <wp:posOffset>635</wp:posOffset>
                </wp:positionV>
                <wp:extent cx="289560" cy="289560"/>
                <wp:effectExtent l="635" t="635" r="635" b="635"/>
                <wp:wrapNone/>
                <wp:docPr id="1" name="Ramka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440" cy="289440"/>
                        </a:xfrm>
                        <a:prstGeom prst="rect">
                          <a:avLst/>
                        </a:prstGeom>
                        <a:noFill/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"/>
                              <w:spacing w:before="0" w:after="1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amka 1" path="m0,0l-2147483645,0l-2147483645,-2147483646l0,-2147483646xe" stroked="t" o:allowincell="f" style="position:absolute;margin-left:-24.75pt;margin-top:0.05pt;width:22.75pt;height:22.75pt;mso-wrap-style:none;v-text-anchor:middle">
                <v:fill o:detectmouseclick="t" on="false"/>
                <v:stroke color="black" weight="720" joinstyle="round" endcap="flat"/>
                <v:textbox>
                  <w:txbxContent>
                    <w:p>
                      <w:pPr>
                        <w:pStyle w:val="BodyText"/>
                        <w:spacing w:before="0" w:after="1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635" distB="635" distL="635" distR="635" simplePos="0" locked="0" layoutInCell="1" allowOverlap="1" relativeHeight="4">
                <wp:simplePos x="0" y="0"/>
                <wp:positionH relativeFrom="column">
                  <wp:posOffset>-314325</wp:posOffset>
                </wp:positionH>
                <wp:positionV relativeFrom="paragraph">
                  <wp:posOffset>635</wp:posOffset>
                </wp:positionV>
                <wp:extent cx="289560" cy="289560"/>
                <wp:effectExtent l="635" t="635" r="635" b="635"/>
                <wp:wrapNone/>
                <wp:docPr id="2" name="Ramka 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440" cy="289440"/>
                        </a:xfrm>
                        <a:prstGeom prst="rect">
                          <a:avLst/>
                        </a:prstGeom>
                        <a:noFill/>
                        <a:ln w="72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BodyText"/>
                              <w:spacing w:before="0" w:after="14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drawing>
                                <wp:inline distT="0" distB="0" distL="0" distR="0">
                                  <wp:extent cx="1181100" cy="765175"/>
                                  <wp:effectExtent l="0" t="0" r="0" b="0"/>
                                  <wp:docPr id="4" name="Obraz1 kopia 1" descr="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4" name="Obraz1 kopia 1" descr="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81100" cy="7651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Ramka 2" path="m0,0l-2147483645,0l-2147483645,-2147483646l0,-2147483646xe" stroked="t" o:allowincell="f" style="position:absolute;margin-left:-24.75pt;margin-top:0.05pt;width:22.75pt;height:22.75pt;mso-wrap-style:none;v-text-anchor:middle">
                <v:fill o:detectmouseclick="t" on="false"/>
                <v:stroke color="black" weight="720" joinstyle="round" endcap="flat"/>
                <v:textbox>
                  <w:txbxContent>
                    <w:p>
                      <w:pPr>
                        <w:pStyle w:val="BodyText"/>
                        <w:spacing w:before="0" w:after="14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drawing>
                          <wp:inline distT="0" distB="0" distL="0" distR="0">
                            <wp:extent cx="1181100" cy="765175"/>
                            <wp:effectExtent l="0" t="0" r="0" b="0"/>
                            <wp:docPr id="5" name="Obraz1 kopia 1" descr="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5" name="Obraz1 kopia 1" descr="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81100" cy="7651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Arial" w:hAnsi="Arial"/>
          <w:sz w:val="20"/>
          <w:szCs w:val="20"/>
        </w:rPr>
        <w:t>5. Miejsce i termin złożenia oferty:</w:t>
        <w:br/>
        <w:t>Gminny Ośrodek Turystyki, Sportu i Rekreacji Nautica w Gorzycach, ul. Bogumińska 31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 xml:space="preserve">34-350 Gorzyce w dniu </w:t>
      </w:r>
      <w:r>
        <w:rPr>
          <w:rFonts w:ascii="Arial" w:hAnsi="Arial"/>
          <w:sz w:val="20"/>
          <w:szCs w:val="20"/>
        </w:rPr>
        <w:t>21</w:t>
      </w:r>
      <w:r>
        <w:rPr>
          <w:rFonts w:ascii="Arial" w:hAnsi="Arial"/>
          <w:sz w:val="20"/>
          <w:szCs w:val="20"/>
        </w:rPr>
        <w:t>.</w:t>
      </w:r>
      <w:r>
        <w:rPr>
          <w:rFonts w:ascii="Arial" w:hAnsi="Arial"/>
          <w:sz w:val="20"/>
          <w:szCs w:val="20"/>
        </w:rPr>
        <w:t>10</w:t>
      </w:r>
      <w:r>
        <w:rPr>
          <w:rFonts w:ascii="Arial" w:hAnsi="Arial"/>
          <w:sz w:val="20"/>
          <w:szCs w:val="20"/>
        </w:rPr>
        <w:t xml:space="preserve">.2025  na adres e-mail: 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techniczny@nautica-gorzyce.pl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6. Warunki płatności:</w:t>
        <w:br/>
        <w:t>przelew 21 dni po dokonaniu odbioru zakończonego protokołem i wystawieniu fv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7. Osoba upoważniona do kontaktów: Sabina Wuwer - z-ca dyrektora ds technicznych, e-mail: techniczny@nautica-gorzyce.pl, tel 600 688 716</w:t>
      </w:r>
    </w:p>
    <w:p>
      <w:pPr>
        <w:pStyle w:val="Normal"/>
        <w:spacing w:lineRule="auto" w:line="360"/>
        <w:jc w:val="left"/>
        <w:rPr/>
      </w:pPr>
      <w:r>
        <w:rPr>
          <w:rFonts w:ascii="Arial" w:hAnsi="Arial"/>
          <w:sz w:val="20"/>
          <w:szCs w:val="20"/>
        </w:rPr>
        <w:t>8. Jeżeli zostaną złożone oferty o takiej samej cenie, w którym jedynym kryterium oceny ofert była cena Zamawiający wezwie wykonawców do złożenia ofert dodatkowych, w których oferowana cena będzie musiała być równa lub niższa niż cena złożona w ofercie.</w:t>
      </w:r>
    </w:p>
    <w:p>
      <w:pPr>
        <w:pStyle w:val="Normal"/>
        <w:spacing w:lineRule="auto" w:line="360"/>
        <w:jc w:val="left"/>
        <w:rPr/>
      </w:pPr>
      <w:r>
        <w:rPr>
          <w:rFonts w:cs="Calibri" w:ascii="Arial" w:hAnsi="Arial"/>
          <w:sz w:val="20"/>
          <w:szCs w:val="20"/>
        </w:rPr>
        <w:t xml:space="preserve">9. Zamawiający nie zwraca kosztów przygotowania ofert i udziału w postępowaniu. </w:t>
      </w:r>
    </w:p>
    <w:p>
      <w:pPr>
        <w:pStyle w:val="Normal"/>
        <w:spacing w:lineRule="auto" w:line="360"/>
        <w:jc w:val="left"/>
        <w:rPr/>
      </w:pPr>
      <w:r>
        <w:rPr>
          <w:rFonts w:cs="Calibri" w:ascii="Arial" w:hAnsi="Arial"/>
          <w:sz w:val="20"/>
          <w:szCs w:val="20"/>
        </w:rPr>
        <w:t>10. Zamawiający zastrzega sobie prawo unieważnienia postępowania bez podania przyczyny.</w:t>
      </w:r>
    </w:p>
    <w:p>
      <w:pPr>
        <w:pStyle w:val="Normal"/>
        <w:spacing w:lineRule="auto" w:line="360"/>
        <w:jc w:val="left"/>
        <w:rPr>
          <w:rFonts w:ascii="Arial" w:hAnsi="Arial" w:cs="Calibri"/>
          <w:sz w:val="20"/>
          <w:szCs w:val="20"/>
        </w:rPr>
      </w:pPr>
      <w:r>
        <w:rPr>
          <w:rFonts w:cs="Calibri" w:ascii="Arial" w:hAnsi="Arial"/>
          <w:sz w:val="20"/>
          <w:szCs w:val="20"/>
        </w:rPr>
      </w:r>
    </w:p>
    <w:p>
      <w:pPr>
        <w:pStyle w:val="Normal"/>
        <w:spacing w:lineRule="auto" w:line="360"/>
        <w:jc w:val="lef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lineRule="auto" w:line="3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jc w:val="right"/>
        <w:rPr>
          <w:rFonts w:cs="Calibri"/>
          <w:szCs w:val="24"/>
        </w:rPr>
      </w:pPr>
      <w:r>
        <w:rPr>
          <w:rFonts w:cs="Calibri"/>
          <w:szCs w:val="24"/>
        </w:rPr>
        <w:t xml:space="preserve">Z-ca dyrektora ds. technicznych </w:t>
      </w:r>
    </w:p>
    <w:p>
      <w:pPr>
        <w:pStyle w:val="Normal"/>
        <w:jc w:val="right"/>
        <w:rPr>
          <w:rFonts w:cs="Calibri"/>
          <w:szCs w:val="24"/>
        </w:rPr>
      </w:pPr>
      <w:r>
        <w:rPr>
          <w:rFonts w:cs="Calibri"/>
          <w:szCs w:val="24"/>
        </w:rPr>
        <w:t>Sabina Wuwer</w:t>
      </w:r>
    </w:p>
    <w:sectPr>
      <w:footerReference w:type="even" r:id="rId4"/>
      <w:footerReference w:type="default" r:id="rId5"/>
      <w:footerReference w:type="first" r:id="rId6"/>
      <w:type w:val="nextPage"/>
      <w:pgSz w:w="11906" w:h="16838"/>
      <w:pgMar w:left="1417" w:right="1417" w:gutter="0" w:header="0" w:top="1417" w:footer="708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">
    <w:charset w:val="ee"/>
    <w:family w:val="roman"/>
    <w:pitch w:val="variable"/>
  </w:font>
  <w:font w:name="Symbol">
    <w:charset w:val="ee"/>
    <w:family w:val="roman"/>
    <w:pitch w:val="variable"/>
  </w:font>
  <w:font w:name="Arial Narrow">
    <w:charset w:val="ee"/>
    <w:family w:val="roman"/>
    <w:pitch w:val="variable"/>
  </w:font>
  <w:font w:name="OpenSymbol">
    <w:altName w:val="Arial Unicode MS"/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/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/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/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/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/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/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ahoma"/>
        <w:szCs w:val="22"/>
        <w:lang w:val="pl-PL" w:eastAsia="en-US" w:bidi="ar-SA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both"/>
    </w:pPr>
    <w:rPr>
      <w:rFonts w:ascii="Calibri" w:hAnsi="Calibri" w:eastAsia="Calibri" w:cs="Tahoma"/>
      <w:color w:val="auto"/>
      <w:kern w:val="0"/>
      <w:sz w:val="24"/>
      <w:szCs w:val="22"/>
      <w:lang w:val="pl-PL" w:eastAsia="en-US" w:bidi="ar-SA"/>
    </w:rPr>
  </w:style>
  <w:style w:type="paragraph" w:styleId="Heading1">
    <w:name w:val="Heading 1"/>
    <w:basedOn w:val="Normal"/>
    <w:link w:val="Nagwek1Znak"/>
    <w:qFormat/>
    <w:pPr>
      <w:keepNext w:val="true"/>
      <w:keepLines/>
      <w:jc w:val="center"/>
      <w:outlineLvl w:val="0"/>
    </w:pPr>
    <w:rPr>
      <w:rFonts w:eastAsia="Calibri" w:cs="Tahoma"/>
      <w:b/>
      <w:szCs w:val="32"/>
    </w:rPr>
  </w:style>
  <w:style w:type="paragraph" w:styleId="Heading2">
    <w:name w:val="Heading 2"/>
    <w:basedOn w:val="Normal"/>
    <w:link w:val="Nagwek2Znak"/>
    <w:qFormat/>
    <w:pPr>
      <w:keepNext w:val="true"/>
      <w:keepLines/>
      <w:outlineLvl w:val="1"/>
    </w:pPr>
    <w:rPr>
      <w:rFonts w:eastAsia="Calibri" w:cs="Tahoma"/>
      <w:szCs w:val="26"/>
    </w:rPr>
  </w:style>
  <w:style w:type="character" w:styleId="DefaultParagraphFont">
    <w:name w:val="Default Paragraph Font"/>
    <w:qFormat/>
    <w:rPr/>
  </w:style>
  <w:style w:type="character" w:styleId="NagwekZnak">
    <w:name w:val="Nagłówek Znak"/>
    <w:basedOn w:val="DefaultParagraphFont"/>
    <w:qFormat/>
    <w:rPr>
      <w:sz w:val="24"/>
    </w:rPr>
  </w:style>
  <w:style w:type="character" w:styleId="StopkaZnak">
    <w:name w:val="Stopka Znak"/>
    <w:basedOn w:val="DefaultParagraphFont"/>
    <w:qFormat/>
    <w:rPr>
      <w:sz w:val="24"/>
    </w:rPr>
  </w:style>
  <w:style w:type="character" w:styleId="Nagwek1Znak">
    <w:name w:val="Nagłówek 1 Znak"/>
    <w:basedOn w:val="DefaultParagraphFont"/>
    <w:qFormat/>
    <w:rPr>
      <w:rFonts w:eastAsia="Calibri" w:cs="Tahoma"/>
      <w:b/>
      <w:sz w:val="24"/>
      <w:szCs w:val="32"/>
    </w:rPr>
  </w:style>
  <w:style w:type="character" w:styleId="InternetLink">
    <w:name w:val="Internet Link"/>
    <w:basedOn w:val="DefaultParagraphFont"/>
    <w:qFormat/>
    <w:rPr>
      <w:color w:themeColor="hyperlink" w:val="0563C1"/>
      <w:u w:val="single"/>
    </w:rPr>
  </w:style>
  <w:style w:type="character" w:styleId="Nagwek2Znak">
    <w:name w:val="Nagłówek 2 Znak"/>
    <w:basedOn w:val="DefaultParagraphFont"/>
    <w:qFormat/>
    <w:rPr>
      <w:rFonts w:eastAsia="Calibri" w:cs="Tahoma"/>
      <w:sz w:val="24"/>
      <w:szCs w:val="26"/>
    </w:rPr>
  </w:style>
  <w:style w:type="character" w:styleId="UnresolvedMention">
    <w:name w:val="Unresolved Mention"/>
    <w:basedOn w:val="DefaultParagraphFont"/>
    <w:qFormat/>
    <w:rPr>
      <w:color w:val="605E5C"/>
      <w:shd w:fill="E1DFDD" w:val="clear"/>
    </w:rPr>
  </w:style>
  <w:style w:type="character" w:styleId="TekstprzypisudolnegoZnak">
    <w:name w:val="Tekst przypisu dolnego Znak"/>
    <w:basedOn w:val="DefaultParagraphFont"/>
    <w:qFormat/>
    <w:rPr>
      <w:sz w:val="20"/>
      <w:szCs w:val="20"/>
    </w:rPr>
  </w:style>
  <w:style w:type="character" w:styleId="FootnoteReference">
    <w:name w:val="Footnote Reference"/>
    <w:rPr>
      <w:vertAlign w:val="superscript"/>
    </w:rPr>
  </w:style>
  <w:style w:type="character" w:styleId="FootnoteCharacters">
    <w:name w:val="Footnote Characters"/>
    <w:qFormat/>
    <w:rPr>
      <w:vertAlign w:val="superscript"/>
    </w:rPr>
  </w:style>
  <w:style w:type="character" w:styleId="FootnoteCharacters1">
    <w:name w:val="Footnote Characters1"/>
    <w:qFormat/>
    <w:rPr>
      <w:vertAlign w:val="superscript"/>
    </w:rPr>
  </w:style>
  <w:style w:type="character" w:styleId="FootnoteCharacters11">
    <w:name w:val="Footnote Characters11"/>
    <w:qFormat/>
    <w:rPr>
      <w:vertAlign w:val="superscript"/>
    </w:rPr>
  </w:style>
  <w:style w:type="character" w:styleId="FootnoteCharacters111">
    <w:name w:val="Footnote Characters111"/>
    <w:qFormat/>
    <w:rPr>
      <w:vertAlign w:val="superscript"/>
    </w:rPr>
  </w:style>
  <w:style w:type="character" w:styleId="FootnoteCharacters1111">
    <w:name w:val="Footnote Characters1111"/>
    <w:qFormat/>
    <w:rPr>
      <w:vertAlign w:val="superscript"/>
    </w:rPr>
  </w:style>
  <w:style w:type="character" w:styleId="FootnoteCharacters11111">
    <w:name w:val="Footnote Characters11111"/>
    <w:qFormat/>
    <w:rPr>
      <w:vertAlign w:val="superscript"/>
    </w:rPr>
  </w:style>
  <w:style w:type="character" w:styleId="FootnoteCharacters111111">
    <w:name w:val="Footnote Characters111111"/>
    <w:qFormat/>
    <w:rPr>
      <w:vertAlign w:val="superscript"/>
    </w:rPr>
  </w:style>
  <w:style w:type="character" w:styleId="FootnoteCharacters1111111">
    <w:name w:val="Footnote Characters1111111"/>
    <w:qFormat/>
    <w:rPr>
      <w:vertAlign w:val="superscript"/>
    </w:rPr>
  </w:style>
  <w:style w:type="character" w:styleId="FootnoteCharacters11111111">
    <w:name w:val="Footnote Characters11111111"/>
    <w:qFormat/>
    <w:rPr>
      <w:vertAlign w:val="superscript"/>
    </w:rPr>
  </w:style>
  <w:style w:type="character" w:styleId="FootnoteCharacters111111111">
    <w:name w:val="Footnote Characters111111111"/>
    <w:qFormat/>
    <w:rPr>
      <w:vertAlign w:val="superscript"/>
    </w:rPr>
  </w:style>
  <w:style w:type="character" w:styleId="FootnoteCharacters1111111111">
    <w:name w:val="Footnote Characters1111111111"/>
    <w:qFormat/>
    <w:rPr>
      <w:vertAlign w:val="superscript"/>
    </w:rPr>
  </w:style>
  <w:style w:type="character" w:styleId="FootnoteCharacters11111111111">
    <w:name w:val="Footnote Characters11111111111"/>
    <w:qFormat/>
    <w:rPr>
      <w:vertAlign w:val="superscript"/>
    </w:rPr>
  </w:style>
  <w:style w:type="character" w:styleId="FootnoteCharacters111111111111">
    <w:name w:val="Footnote Characters111111111111"/>
    <w:qFormat/>
    <w:rPr>
      <w:vertAlign w:val="superscript"/>
    </w:rPr>
  </w:style>
  <w:style w:type="character" w:styleId="FootnoteCharacters1111111111111">
    <w:name w:val="Footnote Characters1111111111111"/>
    <w:qFormat/>
    <w:rPr>
      <w:vertAlign w:val="superscript"/>
    </w:rPr>
  </w:style>
  <w:style w:type="character" w:styleId="FootnoteCharacters11111111111111">
    <w:name w:val="Footnote Characters11111111111111"/>
    <w:basedOn w:val="DefaultParagraphFont"/>
    <w:qFormat/>
    <w:rPr>
      <w:vertAlign w:val="superscript"/>
    </w:rPr>
  </w:style>
  <w:style w:type="character" w:styleId="czeindeksu">
    <w:name w:val="Łącze indeksu"/>
    <w:qFormat/>
    <w:rPr/>
  </w:style>
  <w:style w:type="character" w:styleId="Odwoaniedokomentarza2">
    <w:name w:val="Odwołanie do komentarza2"/>
    <w:qFormat/>
    <w:rPr>
      <w:sz w:val="16"/>
      <w:szCs w:val="16"/>
    </w:rPr>
  </w:style>
  <w:style w:type="character" w:styleId="Odwoaniedokomentarza5">
    <w:name w:val="Odwołanie do komentarza5"/>
    <w:qFormat/>
    <w:rPr>
      <w:sz w:val="16"/>
      <w:szCs w:val="16"/>
    </w:rPr>
  </w:style>
  <w:style w:type="character" w:styleId="WW8Num3z0">
    <w:name w:val="WW8Num3z0"/>
    <w:qFormat/>
    <w:rPr>
      <w:rFonts w:ascii="Arial" w:hAnsi="Arial" w:cs="Arial"/>
      <w:b/>
      <w:sz w:val="16"/>
      <w:szCs w:val="16"/>
    </w:rPr>
  </w:style>
  <w:style w:type="character" w:styleId="WW8Num4z0">
    <w:name w:val="WW8Num4z0"/>
    <w:qFormat/>
    <w:rPr>
      <w:rFonts w:ascii="Calibri" w:hAnsi="Calibri" w:eastAsia="Calibri" w:cs="Calibri"/>
      <w:i w:val="false"/>
      <w:color w:val="000000"/>
      <w:position w:val="0"/>
      <w:sz w:val="24"/>
      <w:sz w:val="24"/>
      <w:szCs w:val="24"/>
      <w:vertAlign w:val="baseline"/>
    </w:rPr>
  </w:style>
  <w:style w:type="character" w:styleId="Znakinumeracji">
    <w:name w:val="Znaki numeracji"/>
    <w:qFormat/>
    <w:rPr/>
  </w:style>
  <w:style w:type="character" w:styleId="WW8Num8z0">
    <w:name w:val="WW8Num8z0"/>
    <w:qFormat/>
    <w:rPr>
      <w:rFonts w:ascii="Symbol" w:hAnsi="Symbol" w:cs="Arial"/>
      <w:color w:val="000000"/>
      <w:sz w:val="16"/>
      <w:szCs w:val="18"/>
      <w:shd w:fill="FFFFFF" w:val="clear"/>
    </w:rPr>
  </w:style>
  <w:style w:type="character" w:styleId="WW8Num7z0">
    <w:name w:val="WW8Num7z0"/>
    <w:qFormat/>
    <w:rPr>
      <w:rFonts w:ascii="Arial Narrow" w:hAnsi="Arial Narrow" w:cs="MS Serif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Znakiwypunktowania">
    <w:name w:val="Znaki wypunktowania"/>
    <w:qFormat/>
    <w:rPr>
      <w:rFonts w:ascii="OpenSymbol" w:hAnsi="OpenSymbol" w:eastAsia="OpenSymbol" w:cs="OpenSymbol"/>
    </w:rPr>
  </w:style>
  <w:style w:type="character" w:styleId="WW8Num11z0">
    <w:name w:val="WW8Num11z0"/>
    <w:qFormat/>
    <w:rPr>
      <w:rFonts w:ascii="Arial" w:hAnsi="Arial" w:eastAsia="Calibri" w:cs="Calibri"/>
      <w:i w:val="false"/>
      <w:color w:val="000000"/>
      <w:position w:val="0"/>
      <w:sz w:val="22"/>
      <w:sz w:val="22"/>
      <w:szCs w:val="22"/>
      <w:vertAlign w:val="baseline"/>
    </w:rPr>
  </w:style>
  <w:style w:type="character" w:styleId="InternetLink1">
    <w:name w:val="Internet Link1"/>
    <w:qFormat/>
    <w:rPr>
      <w:color w:val="000080"/>
      <w:u w:val="single"/>
    </w:rPr>
  </w:style>
  <w:style w:type="character" w:styleId="InternetLink2">
    <w:name w:val="Internet Link2"/>
    <w:qFormat/>
    <w:rPr>
      <w:color w:val="000080"/>
      <w:u w:val="single"/>
    </w:rPr>
  </w:style>
  <w:style w:type="character" w:styleId="InternetLink3">
    <w:name w:val="Internet Link3"/>
    <w:qFormat/>
    <w:rPr>
      <w:color w:val="000080"/>
      <w:u w:val="single"/>
    </w:rPr>
  </w:style>
  <w:style w:type="character" w:styleId="InternetLink4">
    <w:name w:val="Internet Link4"/>
    <w:qFormat/>
    <w:rPr>
      <w:color w:val="000080"/>
      <w:u w:val="single"/>
    </w:rPr>
  </w:style>
  <w:style w:type="character" w:styleId="InternetLink5">
    <w:name w:val="Internet Link5"/>
    <w:qFormat/>
    <w:rPr>
      <w:color w:val="000080"/>
      <w:u w:val="single"/>
    </w:rPr>
  </w:style>
  <w:style w:type="character" w:styleId="InternetLink6">
    <w:name w:val="Internet Link6"/>
    <w:qFormat/>
    <w:rPr>
      <w:color w:val="000080"/>
      <w:u w:val="single"/>
    </w:rPr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Gwkaistopka">
    <w:name w:val="Główka i stopka"/>
    <w:basedOn w:val="Normal"/>
    <w:qFormat/>
    <w:pPr/>
    <w:rPr/>
  </w:style>
  <w:style w:type="paragraph" w:styleId="Header">
    <w:name w:val="Header"/>
    <w:basedOn w:val="Normal"/>
    <w:next w:val="BodyText"/>
    <w:link w:val="NagwekZnak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Footer">
    <w:name w:val="Footer"/>
    <w:basedOn w:val="Normal"/>
    <w:link w:val="StopkaZnak"/>
    <w:pPr>
      <w:tabs>
        <w:tab w:val="clear" w:pos="720"/>
        <w:tab w:val="center" w:pos="4536" w:leader="none"/>
        <w:tab w:val="right" w:pos="9072" w:leader="none"/>
      </w:tabs>
    </w:pPr>
    <w:rPr/>
  </w:style>
  <w:style w:type="paragraph" w:styleId="IndexHeading">
    <w:name w:val="Index Heading"/>
    <w:basedOn w:val="Nagwek"/>
    <w:pPr/>
    <w:rPr/>
  </w:style>
  <w:style w:type="paragraph" w:styleId="TOCHeading">
    <w:name w:val="TOC Heading"/>
    <w:basedOn w:val="Heading1"/>
    <w:qFormat/>
    <w:pPr>
      <w:spacing w:lineRule="auto" w:line="259" w:before="240" w:after="0"/>
      <w:jc w:val="left"/>
    </w:pPr>
    <w:rPr>
      <w:b w:val="false"/>
      <w:color w:themeColor="accent1" w:themeShade="bf" w:val="2F5496"/>
      <w:sz w:val="32"/>
      <w:lang w:eastAsia="pl-PL"/>
    </w:rPr>
  </w:style>
  <w:style w:type="paragraph" w:styleId="TOC1">
    <w:name w:val="TOC 1"/>
    <w:basedOn w:val="Normal"/>
    <w:autoRedefine/>
    <w:pPr>
      <w:tabs>
        <w:tab w:val="clear" w:pos="720"/>
        <w:tab w:val="right" w:pos="9062" w:leader="dot"/>
      </w:tabs>
      <w:spacing w:before="240" w:after="0"/>
      <w:jc w:val="left"/>
    </w:pPr>
    <w:rPr/>
  </w:style>
  <w:style w:type="paragraph" w:styleId="TOC2">
    <w:name w:val="TOC 2"/>
    <w:basedOn w:val="Normal"/>
    <w:autoRedefine/>
    <w:pPr>
      <w:tabs>
        <w:tab w:val="clear" w:pos="720"/>
        <w:tab w:val="left" w:pos="660" w:leader="none"/>
        <w:tab w:val="left" w:pos="1100" w:leader="none"/>
        <w:tab w:val="right" w:pos="9062" w:leader="dot"/>
      </w:tabs>
      <w:ind w:left="240"/>
      <w:jc w:val="left"/>
    </w:pPr>
    <w:rPr/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FootnoteText">
    <w:name w:val="Footnote Text"/>
    <w:basedOn w:val="Normal"/>
    <w:link w:val="TekstprzypisudolnegoZnak"/>
    <w:pPr/>
    <w:rPr>
      <w:sz w:val="20"/>
      <w:szCs w:val="20"/>
    </w:rPr>
  </w:style>
  <w:style w:type="paragraph" w:styleId="BodyTextIndented">
    <w:name w:val="Body Text, Indented"/>
    <w:basedOn w:val="Normal"/>
    <w:qFormat/>
    <w:pPr>
      <w:ind w:left="426"/>
    </w:pPr>
    <w:rPr>
      <w:rFonts w:ascii="Tahoma" w:hAnsi="Tahoma" w:cs="Tahoma"/>
    </w:rPr>
  </w:style>
  <w:style w:type="paragraph" w:styleId="Tekstpodstawowywcity22">
    <w:name w:val="Tekst podstawowy wcięty 22"/>
    <w:basedOn w:val="Normal"/>
    <w:qFormat/>
    <w:pPr>
      <w:ind w:hanging="142" w:left="142"/>
    </w:pPr>
    <w:rPr>
      <w:szCs w:val="24"/>
    </w:rPr>
  </w:style>
  <w:style w:type="paragraph" w:styleId="Zawartoramki">
    <w:name w:val="Zawartość ramki"/>
    <w:basedOn w:val="Normal"/>
    <w:qFormat/>
    <w:pPr/>
    <w:rPr/>
  </w:style>
  <w:style w:type="paragraph" w:styleId="Zawartotabeli">
    <w:name w:val="Zawartość tabeli"/>
    <w:basedOn w:val="Normal"/>
    <w:qFormat/>
    <w:pPr>
      <w:suppressLineNumbers/>
    </w:pPr>
    <w:rPr/>
  </w:style>
  <w:style w:type="paragraph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Default">
    <w:name w:val="Default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Calibri" w:hAnsi="Calibri" w:eastAsia="Calibri" w:cs="Calibri"/>
      <w:color w:val="000000"/>
      <w:kern w:val="0"/>
      <w:sz w:val="24"/>
      <w:szCs w:val="24"/>
      <w:lang w:val="pl-PL" w:eastAsia="en-US" w:bidi="ar-SA"/>
    </w:rPr>
  </w:style>
  <w:style w:type="numbering" w:styleId="Bezlisty">
    <w:name w:val="Bez listy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8">
    <w:name w:val="WW8Num8"/>
    <w:qFormat/>
  </w:style>
  <w:style w:type="numbering" w:styleId="WW8Num7">
    <w:name w:val="WW8Num7"/>
    <w:qFormat/>
  </w:style>
  <w:style w:type="numbering" w:styleId="WW8Num11">
    <w:name w:val="WW8Num1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footer" Target="footer1.xml"/><Relationship Id="rId5" Type="http://schemas.openxmlformats.org/officeDocument/2006/relationships/footer" Target="footer2.xml"/><Relationship Id="rId6" Type="http://schemas.openxmlformats.org/officeDocument/2006/relationships/footer" Target="footer3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776</TotalTime>
  <Application>LibreOffice/24.2.5.2$Windows_X86_64 LibreOffice_project/bffef4ea93e59bebbeaf7f431bb02b1a39ee8a59</Application>
  <AppVersion>15.0000</AppVersion>
  <Pages>1</Pages>
  <Words>256</Words>
  <Characters>1641</Characters>
  <CharactersWithSpaces>1874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2025-08-07T14:12:00Z</dcterms:created>
  <dc:creator>Grzegorz</dc:creator>
  <dc:description/>
  <dc:language>pl-PL</dc:language>
  <cp:lastModifiedBy/>
  <cp:lastPrinted>2025-09-18T12:31:10Z</cp:lastPrinted>
  <dcterms:modified xsi:type="dcterms:W3CDTF">2025-10-13T10:06:22Z</dcterms:modified>
  <cp:revision>36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