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right"/>
        <w:rPr/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24130</wp:posOffset>
            </wp:positionH>
            <wp:positionV relativeFrom="paragraph">
              <wp:posOffset>635</wp:posOffset>
            </wp:positionV>
            <wp:extent cx="1703070" cy="1106805"/>
            <wp:effectExtent l="0" t="0" r="0" b="0"/>
            <wp:wrapSquare wrapText="bothSides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106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ab/>
      </w:r>
      <w:r>
        <w:rPr/>
        <w:tab/>
        <w:tab/>
        <w:tab/>
        <w:tab/>
        <w:tab/>
        <w:tab/>
        <w:tab/>
        <w:tab/>
        <w:tab/>
        <w:tab/>
        <w:tab/>
        <w:tab/>
        <w:tab/>
        <w:t>Gorzyce, 1</w:t>
      </w:r>
      <w:r>
        <w:rPr/>
        <w:t>7</w:t>
      </w:r>
      <w:r>
        <w:rPr/>
        <w:t>.12.2020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jc w:val="right"/>
        <w:rPr>
          <w:b/>
          <w:b/>
          <w:bCs/>
        </w:rPr>
      </w:pPr>
      <w:r>
        <w:rPr>
          <w:b/>
          <w:bCs/>
        </w:rPr>
        <w:t>Wykonawcy zainteresowani</w:t>
      </w:r>
    </w:p>
    <w:p>
      <w:pPr>
        <w:pStyle w:val="Standard"/>
        <w:jc w:val="right"/>
        <w:rPr>
          <w:b/>
          <w:b/>
          <w:bCs/>
        </w:rPr>
      </w:pPr>
      <w:r>
        <w:rPr>
          <w:b/>
          <w:bCs/>
        </w:rPr>
        <w:t>udziałem w przetargu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ab/>
      </w:r>
    </w:p>
    <w:p>
      <w:pPr>
        <w:pStyle w:val="Standard"/>
        <w:rPr/>
      </w:pPr>
      <w:r>
        <w:rPr/>
        <w:tab/>
        <w:t>W nawiązaniu do ogłoszenia o zamówieniu GOTSiR.0763.101.2020 oraz Specyfikacji Istotnych Warunków Zamówienia, którego przedmiotem jest:</w:t>
      </w:r>
    </w:p>
    <w:p>
      <w:pPr>
        <w:pStyle w:val="Standard"/>
        <w:rPr/>
      </w:pPr>
      <w:r>
        <w:rPr/>
      </w:r>
    </w:p>
    <w:p>
      <w:pPr>
        <w:pStyle w:val="Standard"/>
        <w:keepNext w:val="true"/>
        <w:jc w:val="both"/>
        <w:rPr>
          <w:rFonts w:cs="Times New Roman"/>
          <w:b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„</w:t>
      </w:r>
      <w:r>
        <w:rPr>
          <w:rFonts w:cs="Times New Roman"/>
          <w:b/>
          <w:sz w:val="22"/>
          <w:szCs w:val="22"/>
        </w:rPr>
        <w:t>Utrzymanie czystości w pomieszczeniach krytej pływalni Gminnego Ośrodka Turystyki, Sportu i Rekreacji „NAUTICA” w Gorzycach”</w:t>
      </w:r>
    </w:p>
    <w:p>
      <w:pPr>
        <w:pStyle w:val="Standard"/>
        <w:jc w:val="both"/>
        <w:rPr>
          <w:rFonts w:cs="Times New Roman"/>
          <w:b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</w:r>
    </w:p>
    <w:p>
      <w:pPr>
        <w:pStyle w:val="Standard"/>
        <w:rPr/>
      </w:pPr>
      <w:r>
        <w:rPr/>
        <w:t>Gminny Ośrodek Turystyki, Sportu i Rekreacji „Nautica”, jako Zamawiający na podstawie art.38 ustawy Pzp odpowiada na pytania nadesłane przez Wykonawców: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>Ad.1</w:t>
      </w:r>
    </w:p>
    <w:p>
      <w:pPr>
        <w:pStyle w:val="Standard"/>
        <w:rPr/>
      </w:pPr>
      <w:r>
        <w:rPr/>
        <w:t>Tak – Zamawiający wyraża zgodę na zawarcie umowy w formie pisemnej podpisanej kwalifikowanym podpisem elektronicznym.</w:t>
      </w:r>
    </w:p>
    <w:p>
      <w:pPr>
        <w:pStyle w:val="Standard"/>
        <w:rPr/>
      </w:pPr>
      <w:r>
        <w:rPr/>
        <w:t>Nie – Zamawiający nie wyraża zgody na wniesienie należytego zabezpieczenia wykonania umowy w formie pisemnej podpisanej kwalifikowanym podpisem elektronicznym.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>Ad 2.</w:t>
      </w:r>
    </w:p>
    <w:p>
      <w:pPr>
        <w:pStyle w:val="Standard"/>
        <w:rPr/>
      </w:pPr>
      <w:r>
        <w:rPr/>
        <w:t>Zamawiający nie przychyla się do wniosku w postaci wprowadzenia zmian w SIWZ proponowanych przez Wykonawcę.</w:t>
      </w:r>
    </w:p>
    <w:p>
      <w:pPr>
        <w:pStyle w:val="Standard"/>
        <w:rPr/>
      </w:pPr>
      <w:r>
        <w:rPr/>
        <w:t xml:space="preserve">Zamawiający przewidział w SIWZ wynikające </w:t>
      </w:r>
      <w:r>
        <w:rPr>
          <w:color w:val="000000"/>
        </w:rPr>
        <w:t>także</w:t>
      </w:r>
      <w:r>
        <w:rPr>
          <w:color w:val="000000"/>
        </w:rPr>
        <w:t xml:space="preserve"> </w:t>
      </w:r>
      <w:r>
        <w:rPr/>
        <w:t xml:space="preserve">z „siły wyższej” możliwości zmian </w:t>
        <w:br/>
        <w:t>w godzinach pracy obiektu i wynikający z powyższego</w:t>
      </w:r>
      <w:r>
        <w:rPr>
          <w:rFonts w:eastAsia="Times New Roman"/>
          <w:szCs w:val="20"/>
        </w:rPr>
        <w:t xml:space="preserve"> sposób ustalania wynagrodzenia dla Wykonawcy w czasie nieplanowanych i planowanych ograniczeń czasu pracy obiektu pływalni ( wskazane w załączniku nr 7 do SIWZ, §8 oraz</w:t>
      </w:r>
      <w:r>
        <w:rPr/>
        <w:t xml:space="preserve"> w SIWZ pkt 2.2 lit c).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>Ad 3.</w:t>
      </w:r>
    </w:p>
    <w:p>
      <w:pPr>
        <w:pStyle w:val="Standard"/>
        <w:rPr/>
      </w:pPr>
      <w:r>
        <w:rPr/>
        <w:t>Tak – Zamawiający akceptuje obsługę ustrukturyzowanych dokumentów elektronicznych przesyłanych za pośrednictwem Platformy Elektronicznego Fakturowania.</w:t>
      </w:r>
    </w:p>
    <w:p>
      <w:pPr>
        <w:pStyle w:val="Standard"/>
        <w:rPr/>
      </w:pPr>
      <w:r>
        <w:rPr/>
        <w:t xml:space="preserve">Konto Zamawiającego na platformie PEF </w:t>
      </w:r>
      <w:r>
        <w:rPr/>
        <w:t>zostanie przekazane wybranemu Wykonawcy zamówienia.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>Ad 4.</w:t>
      </w:r>
    </w:p>
    <w:p>
      <w:pPr>
        <w:pStyle w:val="Standard"/>
        <w:jc w:val="both"/>
        <w:rPr>
          <w:color w:val="000000"/>
        </w:rPr>
      </w:pPr>
      <w:r>
        <w:rPr>
          <w:color w:val="000000"/>
        </w:rPr>
        <w:t>Zamawiający nie wyraża zgody na wystawianie osobnej faktury przez poszczególne podmioty wchodzące w skład konsorcjum. Takie rozwiązanie jest dopuszczalne w umowie, ale nie jest obowiązkowe. W przypadku naszego zakładu może stwarzać trudności we wzajemnych rozliczeniach.  Zamawiający przypomina również, iż zgodnie z art. 141 ustawy Pzp Wykonawcy wspólnie ubiegający się o udzielenie zamówienia ponoszą solidarną odpowiedzialność za wykonanie umowy i wniesienie należytego zabezpieczenia umowy, a zgodnie z art. 23 do każdego członka konsorcjum stosuje się przepisy dotyczące Wykonawcy</w:t>
      </w:r>
      <w:r>
        <w:rPr>
          <w:color w:val="4F81BD" w:themeColor="accent1"/>
        </w:rPr>
        <w:t>.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>Ad 5.</w:t>
      </w:r>
    </w:p>
    <w:p>
      <w:pPr>
        <w:pStyle w:val="Standard"/>
        <w:rPr>
          <w:color w:val="4F81BD" w:themeColor="accent1"/>
        </w:rPr>
      </w:pPr>
      <w:r>
        <w:rPr/>
        <w:t>Nie – Zamawiający nie zmodyfikuje wysokości kar umownych o 50% tj. ani ich nie podwyższy ani ich nie zmniejszy.</w:t>
      </w:r>
      <w:r>
        <w:rPr>
          <w:color w:val="000000"/>
        </w:rPr>
        <w:t xml:space="preserve"> </w:t>
      </w:r>
      <w:r>
        <w:rPr>
          <w:color w:val="000000"/>
        </w:rPr>
        <w:t xml:space="preserve">Wysokość kar nie jest wygórowana i jest adekwatna do skali naruszeń umowy. </w:t>
      </w:r>
      <w:r>
        <w:rPr>
          <w:color w:val="000000"/>
        </w:rPr>
        <w:t xml:space="preserve">Kara umowna pełni również funkcję dyscyplinująca i przy prawidłowym wykonywaniu umowy, nie będzie naliczana. 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>Ad 6.</w:t>
      </w:r>
    </w:p>
    <w:p>
      <w:pPr>
        <w:pStyle w:val="Standard"/>
        <w:rPr/>
      </w:pPr>
      <w:r>
        <w:rPr/>
        <w:t>Nie – Zamawiający nie wyraża zgody na wprowadzenie zmian w SIWZ w zakresie proponowanym przez Wykonawcę.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>Ad 7.</w:t>
      </w:r>
    </w:p>
    <w:p>
      <w:pPr>
        <w:pStyle w:val="Standard"/>
        <w:rPr/>
      </w:pPr>
      <w:r>
        <w:rPr/>
        <w:t>Nie – Zamawiający nie dopuszcza waloryzacji wynagrodzenia umownego o wskaźnik wzrostu cen towarów i usług.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>Ad 8.</w:t>
      </w:r>
      <w:r>
        <w:rPr>
          <w:color w:val="000000"/>
        </w:rPr>
        <w:t xml:space="preserve"> </w:t>
      </w:r>
      <w:r>
        <w:rPr>
          <w:color w:val="000000"/>
        </w:rPr>
        <w:t>( błędna numeracja pytania)</w:t>
      </w:r>
    </w:p>
    <w:p>
      <w:pPr>
        <w:pStyle w:val="Standard"/>
        <w:rPr/>
      </w:pPr>
      <w:r>
        <w:rPr/>
        <w:t>Nie – Zamawiający nie dopuszcza waloryzacji wynagrodzenia umownego o wskaźnik wzrostu cen towarów i usług.</w:t>
      </w:r>
    </w:p>
    <w:p>
      <w:pPr>
        <w:pStyle w:val="Standard"/>
        <w:rPr/>
      </w:pPr>
      <w:r>
        <w:rPr/>
      </w:r>
    </w:p>
    <w:p>
      <w:pPr>
        <w:pStyle w:val="Standard"/>
        <w:rPr>
          <w:color w:val="CE181E"/>
        </w:rPr>
      </w:pPr>
      <w:r>
        <w:rPr>
          <w:color w:val="000000"/>
        </w:rPr>
        <w:t>Ad 9.</w:t>
      </w:r>
    </w:p>
    <w:p>
      <w:pPr>
        <w:pStyle w:val="Standard"/>
        <w:rPr>
          <w:color w:val="CE181E"/>
        </w:rPr>
      </w:pPr>
      <w:r>
        <w:rPr>
          <w:color w:val="000000"/>
        </w:rPr>
        <w:t xml:space="preserve">Tak – Zamawiający dookreśla zasady realizacji obowiązków wynikających z art. 142 ustawy PZP poprzez dodanie zmian w załączniku nr 7 do SIWZ, którego </w:t>
      </w:r>
      <w:r>
        <w:rPr>
          <w:rFonts w:eastAsia="Times New Roman"/>
          <w:color w:val="000000"/>
          <w:szCs w:val="20"/>
        </w:rPr>
        <w:t>§ 11 ust 1 otrzymuje brzmienie:</w:t>
      </w:r>
    </w:p>
    <w:p>
      <w:pPr>
        <w:pStyle w:val="Standard"/>
        <w:suppressAutoHyphens w:val="false"/>
        <w:spacing w:lineRule="auto" w:line="276"/>
        <w:rPr/>
      </w:pPr>
      <w:r>
        <w:rPr>
          <w:rStyle w:val="Domylnaczcionkaakapitu5"/>
          <w:rFonts w:eastAsia="Times New Roman"/>
          <w:color w:val="000000"/>
          <w:szCs w:val="20"/>
        </w:rPr>
        <w:t>„</w:t>
      </w:r>
      <w:r>
        <w:rPr>
          <w:rStyle w:val="Domylnaczcionkaakapitu5"/>
          <w:rFonts w:eastAsia="Times New Roman"/>
          <w:color w:val="000000"/>
          <w:szCs w:val="20"/>
        </w:rPr>
        <w:t xml:space="preserve">1. Strony zobowiązują się dokonać zmiany wysokości wynagrodzenia należnego Wykonawcy, </w:t>
        <w:br/>
        <w:t>o którym mowa w §8 Umowy, w formie pisemnego aneksu, każdorazowo w przypadku wystąpienia jednej z następujących okoliczności:</w:t>
      </w:r>
    </w:p>
    <w:p>
      <w:pPr>
        <w:pStyle w:val="Standard"/>
        <w:suppressAutoHyphens w:val="false"/>
        <w:spacing w:lineRule="auto" w:line="276"/>
        <w:rPr>
          <w:rFonts w:eastAsia="Times New Roman"/>
          <w:szCs w:val="20"/>
        </w:rPr>
      </w:pPr>
      <w:r>
        <w:rPr>
          <w:rFonts w:eastAsia="Times New Roman"/>
          <w:color w:val="000000"/>
          <w:szCs w:val="20"/>
        </w:rPr>
        <w:t>1) zmiany stawki podatku od towarów i usług,</w:t>
      </w:r>
    </w:p>
    <w:p>
      <w:pPr>
        <w:pStyle w:val="Standard"/>
        <w:suppressAutoHyphens w:val="false"/>
        <w:spacing w:lineRule="auto" w:line="276"/>
        <w:rPr>
          <w:rFonts w:eastAsia="Times New Roman"/>
          <w:szCs w:val="20"/>
        </w:rPr>
      </w:pPr>
      <w:r>
        <w:rPr>
          <w:rFonts w:eastAsia="Times New Roman"/>
          <w:color w:val="000000"/>
          <w:szCs w:val="20"/>
        </w:rPr>
        <w:t>2) zmiany wysokości minimalnego wynagrodzenia ustalonego na podstawie przepisów o minimalnym wynagrodzeniu za pracę,</w:t>
      </w:r>
    </w:p>
    <w:p>
      <w:pPr>
        <w:pStyle w:val="Standard"/>
        <w:suppressAutoHyphens w:val="false"/>
        <w:spacing w:lineRule="auto" w:line="276"/>
        <w:rPr>
          <w:rFonts w:eastAsia="Times New Roman"/>
          <w:szCs w:val="20"/>
        </w:rPr>
      </w:pPr>
      <w:r>
        <w:rPr>
          <w:rFonts w:eastAsia="Times New Roman"/>
          <w:color w:val="000000"/>
          <w:szCs w:val="20"/>
        </w:rPr>
        <w:t>3) zmiany zasad podlegania ubezpieczeniom społecznym lub ubezpieczeniu zdrowotnemu lub wysokości stawki składki na ubezpieczenia społeczne lub zdrowotne,</w:t>
      </w:r>
    </w:p>
    <w:p>
      <w:pPr>
        <w:pStyle w:val="Standard"/>
        <w:suppressAutoHyphens w:val="false"/>
        <w:spacing w:lineRule="auto" w:line="276"/>
        <w:rPr/>
      </w:pPr>
      <w:r>
        <w:rPr>
          <w:rFonts w:eastAsia="Times New Roman" w:cs="Times New Roman"/>
          <w:color w:val="000000"/>
          <w:szCs w:val="20"/>
          <w:lang w:bidi="ar-SA"/>
        </w:rPr>
        <w:t xml:space="preserve">4) zasad gromadzenia i wysokości wpłat do pracowniczych planów kapitałowych, o których mowa w </w:t>
      </w:r>
      <w:r>
        <w:fldChar w:fldCharType="begin"/>
      </w:r>
      <w:r>
        <w:rPr>
          <w:rStyle w:val="Internetlink"/>
          <w:u w:val="none"/>
          <w:highlight w:val="white"/>
          <w:szCs w:val="20"/>
          <w:rFonts w:eastAsia="Times New Roman" w:cs="Times New Roman"/>
        </w:rPr>
        <w:instrText> HYPERLINK "https://sip.lex.pl/" \l "/document/18781862?cm=DOCUMENT"</w:instrText>
      </w:r>
      <w:r>
        <w:rPr>
          <w:rStyle w:val="Internetlink"/>
          <w:u w:val="none"/>
          <w:highlight w:val="white"/>
          <w:szCs w:val="20"/>
          <w:rFonts w:eastAsia="Times New Roman" w:cs="Times New Roman"/>
        </w:rPr>
        <w:fldChar w:fldCharType="separate"/>
      </w:r>
      <w:r>
        <w:rPr>
          <w:rStyle w:val="Internetlink"/>
          <w:rFonts w:eastAsia="Times New Roman" w:cs="Times New Roman"/>
          <w:color w:val="000000"/>
          <w:szCs w:val="20"/>
          <w:highlight w:val="white"/>
          <w:u w:val="none"/>
          <w:lang w:bidi="ar-SA"/>
        </w:rPr>
        <w:t>ustawie</w:t>
      </w:r>
      <w:r>
        <w:rPr>
          <w:rStyle w:val="Internetlink"/>
          <w:u w:val="none"/>
          <w:highlight w:val="white"/>
          <w:szCs w:val="20"/>
          <w:rFonts w:eastAsia="Times New Roman" w:cs="Times New Roman"/>
        </w:rPr>
        <w:fldChar w:fldCharType="end"/>
      </w:r>
      <w:r>
        <w:rPr>
          <w:rFonts w:eastAsia="Times New Roman" w:cs="Times New Roman"/>
          <w:color w:val="000000"/>
          <w:szCs w:val="20"/>
          <w:lang w:bidi="ar-SA"/>
        </w:rPr>
        <w:t xml:space="preserve"> z dnia 4 października 2018 r. o pracowniczych planach kapitałowych,</w:t>
      </w:r>
    </w:p>
    <w:p>
      <w:pPr>
        <w:pStyle w:val="Standard"/>
        <w:suppressAutoHyphens w:val="false"/>
        <w:spacing w:lineRule="auto" w:line="276"/>
        <w:rPr/>
      </w:pPr>
      <w:r>
        <w:rPr>
          <w:rFonts w:eastAsia="Times New Roman"/>
          <w:b/>
          <w:bCs/>
          <w:color w:val="000000"/>
          <w:szCs w:val="20"/>
        </w:rPr>
        <w:t>5)</w:t>
      </w:r>
      <w:r>
        <w:rPr>
          <w:rFonts w:eastAsia="Times New Roman"/>
          <w:color w:val="000000"/>
          <w:szCs w:val="20"/>
        </w:rPr>
        <w:t xml:space="preserve"> </w:t>
      </w:r>
      <w:r>
        <w:rPr>
          <w:rFonts w:eastAsia="Times New Roman"/>
          <w:color w:val="000000"/>
          <w:szCs w:val="20"/>
        </w:rPr>
        <w:t xml:space="preserve">zmiany przepisów prawa, mających wpływ na wykonywanie przedmiotu zamówienia, </w:t>
      </w:r>
      <w:r>
        <w:rPr>
          <w:rStyle w:val="Domylnaczcionkaakapitu5"/>
          <w:rFonts w:eastAsia="Times New Roman"/>
          <w:color w:val="000000"/>
          <w:szCs w:val="20"/>
        </w:rPr>
        <w:t>- na zasadach i w sposób określony w ust. 2 - 10, jeżeli zmiany te będą miały wpływ na koszty wykonania Umowy przez Wykonawcę.”</w:t>
      </w:r>
    </w:p>
    <w:p>
      <w:pPr>
        <w:pStyle w:val="Standard"/>
        <w:suppressAutoHyphens w:val="false"/>
        <w:spacing w:lineRule="auto" w:line="276"/>
        <w:rPr/>
      </w:pPr>
      <w:r>
        <w:rPr/>
      </w:r>
    </w:p>
    <w:p>
      <w:pPr>
        <w:pStyle w:val="Standard"/>
        <w:rPr/>
      </w:pPr>
      <w:r>
        <w:rPr/>
        <w:t>Ad. 10</w:t>
      </w:r>
    </w:p>
    <w:p>
      <w:pPr>
        <w:pStyle w:val="Standard"/>
        <w:rPr/>
      </w:pPr>
      <w:r>
        <w:rPr/>
        <w:t>Zamawiający w SIWZ określił godziny funkcjonowania obiektu, nie określił minimalnej ilości osób i godzin pracy personelu sprzątającego.</w:t>
      </w:r>
    </w:p>
    <w:p>
      <w:pPr>
        <w:pStyle w:val="Standard"/>
        <w:rPr/>
      </w:pPr>
      <w:r>
        <w:rPr/>
        <w:t xml:space="preserve">Zamawiający przewidział w SIWZ możliwości zmian w godzinach pracy obiektu i wynikający </w:t>
        <w:br/>
        <w:t>z powyższego</w:t>
      </w:r>
      <w:r>
        <w:rPr>
          <w:rFonts w:eastAsia="Times New Roman"/>
          <w:szCs w:val="20"/>
        </w:rPr>
        <w:t xml:space="preserve"> sposób ustalania wynagrodzenia dla Wykonawcy w czasie nieplanowanych i planowanych ograniczeń czasu pracy obiektu pływalni (  wskazane w załączniku nr 7 do SIWZ, §8 ).</w:t>
      </w:r>
    </w:p>
    <w:p>
      <w:pPr>
        <w:pStyle w:val="Standard"/>
        <w:rPr>
          <w:rFonts w:eastAsia="Times New Roman"/>
          <w:szCs w:val="20"/>
        </w:rPr>
      </w:pPr>
      <w:r>
        <w:rPr>
          <w:rFonts w:eastAsia="Times New Roman"/>
          <w:szCs w:val="20"/>
        </w:rPr>
      </w:r>
    </w:p>
    <w:p>
      <w:pPr>
        <w:pStyle w:val="Standard"/>
        <w:rPr>
          <w:rFonts w:eastAsia="Times New Roman"/>
          <w:szCs w:val="20"/>
        </w:rPr>
      </w:pPr>
      <w:r>
        <w:rPr>
          <w:rFonts w:eastAsia="Times New Roman"/>
          <w:szCs w:val="20"/>
        </w:rPr>
        <w:t>Ad 11.</w:t>
      </w:r>
    </w:p>
    <w:p>
      <w:pPr>
        <w:pStyle w:val="Standard"/>
        <w:rPr/>
      </w:pPr>
      <w:r>
        <w:rPr>
          <w:rFonts w:eastAsia="Times New Roman"/>
          <w:szCs w:val="20"/>
        </w:rPr>
        <w:t>Tak - Zamawiający wymaga zatrudnienia na umowę o pracę osób wykonujących czynności sprzątania za wyjątkiem zastępstw urlopowych, usprawiedliwionej nieobecności pracownika. Wymóg nie obowiązuje w przypadku , gdy czynności zostaną powierzone osobom fizycznym prowadzącym działalność gospodarczą, które czynności będą wykonywać osobiście  na podstawie łączącego je z Wykonawcą stosunku cywilnoprawnego.</w:t>
      </w:r>
    </w:p>
    <w:p>
      <w:pPr>
        <w:pStyle w:val="Standard"/>
        <w:rPr>
          <w:rFonts w:eastAsia="Times New Roman"/>
          <w:szCs w:val="20"/>
        </w:rPr>
      </w:pPr>
      <w:r>
        <w:rPr>
          <w:rFonts w:eastAsia="Times New Roman"/>
          <w:szCs w:val="20"/>
        </w:rPr>
      </w:r>
    </w:p>
    <w:p>
      <w:pPr>
        <w:pStyle w:val="Standard"/>
        <w:rPr>
          <w:rFonts w:eastAsia="Times New Roman"/>
          <w:szCs w:val="20"/>
        </w:rPr>
      </w:pPr>
      <w:r>
        <w:rPr>
          <w:rFonts w:eastAsia="Times New Roman"/>
          <w:szCs w:val="20"/>
        </w:rPr>
        <w:t>Ad 12.</w:t>
      </w:r>
    </w:p>
    <w:p>
      <w:pPr>
        <w:pStyle w:val="Standard"/>
        <w:rPr>
          <w:color w:val="CE181E"/>
        </w:rPr>
      </w:pPr>
      <w:r>
        <w:rPr>
          <w:rFonts w:eastAsia="Times New Roman"/>
          <w:color w:val="000000"/>
          <w:szCs w:val="20"/>
        </w:rPr>
        <w:t>Nie – Zamawiający wskazuje, że to do Wykonawcy należy organizacja pracy personelu sprzątającego. Zamawiający nie nakazuje Wykonawcy stałej obecności personelu w czasie godzin otwarcia obiektu dla klientów. Wskazuje jednocześnie, że w SIWZ określenie „utrzymanie czystości w pomieszczeniach krytej pływalni” obejmuje sprzątanie „na bieżąco” oraz „według potrzeb” czyli w szczególności w czasie dostępności pływalni dla klientów.</w:t>
      </w:r>
    </w:p>
    <w:p>
      <w:pPr>
        <w:pStyle w:val="Standard"/>
        <w:rPr>
          <w:rFonts w:eastAsia="Times New Roman"/>
          <w:szCs w:val="20"/>
        </w:rPr>
      </w:pPr>
      <w:r>
        <w:rPr>
          <w:rFonts w:eastAsia="Times New Roman"/>
          <w:szCs w:val="20"/>
        </w:rPr>
      </w:r>
    </w:p>
    <w:p>
      <w:pPr>
        <w:pStyle w:val="Standard"/>
        <w:rPr>
          <w:rFonts w:eastAsia="Times New Roman"/>
          <w:szCs w:val="20"/>
        </w:rPr>
      </w:pPr>
      <w:r>
        <w:rPr>
          <w:rFonts w:eastAsia="Times New Roman"/>
          <w:szCs w:val="20"/>
        </w:rPr>
        <w:t>Ad 13.</w:t>
      </w:r>
    </w:p>
    <w:p>
      <w:pPr>
        <w:pStyle w:val="Standard"/>
        <w:rPr/>
      </w:pPr>
      <w:r>
        <w:rPr>
          <w:rFonts w:eastAsia="Times New Roman"/>
          <w:szCs w:val="20"/>
        </w:rPr>
        <w:t>Zamawiający wskazuje, że to do Wykonawcy należy organizacja pracy personelu sprzątającego, Wykonawca ponosi pełną odpowiedzialność za bezkonfliktową dla klientów pracę pływalni w godzinach jej otwarcia, tj. osób przebywających na hali basenowej, organizując we właściwy sposób prace personelu sprzątającego.</w:t>
      </w:r>
    </w:p>
    <w:p>
      <w:pPr>
        <w:pStyle w:val="Standard"/>
        <w:rPr/>
      </w:pPr>
      <w:r>
        <w:rPr>
          <w:rFonts w:eastAsia="Times New Roman"/>
          <w:szCs w:val="20"/>
        </w:rPr>
        <w:t>Powyższe oznacza naturalną konieczność realizacji niektórych prac po zamknięciu obiektu dla klientów.</w:t>
      </w:r>
    </w:p>
    <w:p>
      <w:pPr>
        <w:pStyle w:val="Standard"/>
        <w:rPr>
          <w:rFonts w:eastAsia="Times New Roman"/>
          <w:szCs w:val="20"/>
        </w:rPr>
      </w:pPr>
      <w:r>
        <w:rPr>
          <w:rFonts w:eastAsia="Times New Roman"/>
          <w:szCs w:val="20"/>
        </w:rPr>
      </w:r>
    </w:p>
    <w:p>
      <w:pPr>
        <w:pStyle w:val="Standard"/>
        <w:rPr>
          <w:rFonts w:eastAsia="Times New Roman"/>
          <w:szCs w:val="20"/>
        </w:rPr>
      </w:pPr>
      <w:r>
        <w:rPr>
          <w:rFonts w:eastAsia="Times New Roman"/>
          <w:szCs w:val="20"/>
        </w:rPr>
        <w:t>Ad 14.</w:t>
      </w:r>
    </w:p>
    <w:p>
      <w:pPr>
        <w:pStyle w:val="Standard"/>
        <w:rPr>
          <w:rFonts w:eastAsia="Times New Roman"/>
          <w:szCs w:val="20"/>
        </w:rPr>
      </w:pPr>
      <w:r>
        <w:rPr>
          <w:rFonts w:eastAsia="Times New Roman"/>
          <w:szCs w:val="20"/>
        </w:rPr>
        <w:t>Zamawiający zgodnie z SIWZ oczekuje od Wykonawcy, że dysponuje on odpowiednim potencjałem osobowym zdolnym do wykonania zamówienia co nie jest tożsame z oczekiwaniem skierowania do realizacji zamówienia określonej ilości osób.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>
          <w:rFonts w:eastAsia="Times New Roman"/>
          <w:color w:val="212529"/>
          <w:szCs w:val="20"/>
        </w:rPr>
      </w:pPr>
      <w:r>
        <w:rPr>
          <w:rFonts w:eastAsia="Times New Roman"/>
          <w:color w:val="212529"/>
          <w:szCs w:val="20"/>
        </w:rPr>
      </w:r>
    </w:p>
    <w:p>
      <w:pPr>
        <w:pStyle w:val="Standard"/>
        <w:jc w:val="both"/>
        <w:rPr/>
      </w:pPr>
      <w:r>
        <w:rPr>
          <w:rFonts w:eastAsia="Times New Roman"/>
          <w:b/>
          <w:bCs/>
          <w:color w:val="212529"/>
          <w:szCs w:val="20"/>
        </w:rPr>
        <w:t>Zamawiający wskazuje, że niniejsze wyjaśnienie służy interpretacji i doprecyzowaniu postanowień SIWZ. Zamawiający, jak i Wykonawcy, są związani niniejszym wyjaśnieniem w równym stopniu, jak treścią SIWZ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4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5" w:customStyle="1">
    <w:name w:val="Domyślna czcionka akapitu5"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VisitedInternetLink" w:customStyle="1">
    <w:name w:val="Visited Internet Link"/>
    <w:qFormat/>
    <w:rPr>
      <w:color w:val="800080"/>
      <w:u w:val="single"/>
    </w:rPr>
  </w:style>
  <w:style w:type="character" w:styleId="ListLabel1">
    <w:name w:val="ListLabel 1"/>
    <w:qFormat/>
    <w:rPr>
      <w:rFonts w:eastAsia="Times New Roman" w:cs="Times New Roman"/>
      <w:color w:val="CE181E"/>
      <w:szCs w:val="20"/>
      <w:u w:val="none"/>
      <w:shd w:fill="FFFFFF" w:val="clear"/>
      <w:lang w:bidi="ar-SA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 w:customStyle="1">
    <w:name w:val="Nagłówek"/>
    <w:basedOn w:val="Standard"/>
    <w:next w:val="Tretekstu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/>
      <w:bidi w:val="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Application>LibreOffice/6.0.4.2$Windows_x86 LibreOffice_project/9b0d9b32d5dcda91d2f1a96dc04c645c450872bf</Application>
  <Pages>3</Pages>
  <Words>790</Words>
  <Characters>5111</Characters>
  <CharactersWithSpaces>5887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2020-12-15T14:22:00Z</dcterms:created>
  <dc:creator>Jacek</dc:creator>
  <dc:description/>
  <dc:language>pl-PL</dc:language>
  <cp:lastModifiedBy/>
  <cp:lastPrinted>2020-12-17T14:30:48Z</cp:lastPrinted>
  <dcterms:modified xsi:type="dcterms:W3CDTF">2020-12-17T14:31:00Z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